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E0B69">
      <w:pPr>
        <w:spacing w:line="560" w:lineRule="exact"/>
        <w:jc w:val="center"/>
        <w:rPr>
          <w:rFonts w:hint="eastAsia" w:ascii="方正小标宋_GBK" w:hAnsi="方正公文小标宋" w:eastAsia="方正小标宋_GBK"/>
          <w:sz w:val="44"/>
          <w:szCs w:val="44"/>
          <w:lang w:eastAsia="zh-CN"/>
        </w:rPr>
      </w:pPr>
      <w:bookmarkStart w:id="0" w:name="_Hlk193283728"/>
      <w:bookmarkEnd w:id="0"/>
      <w:bookmarkStart w:id="4" w:name="_GoBack"/>
      <w:r>
        <w:rPr>
          <w:rFonts w:hint="eastAsia" w:ascii="方正小标宋_GBK" w:hAnsi="Times New Roman" w:eastAsia="方正小标宋_GBK" w:cs="Times New Roman"/>
          <w:b/>
          <w:bCs/>
          <w:sz w:val="44"/>
          <w:szCs w:val="44"/>
        </w:rPr>
        <w:t>2024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年青岛市体育场地统计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调查数据</w:t>
      </w:r>
      <w:bookmarkEnd w:id="4"/>
    </w:p>
    <w:p w14:paraId="36ABD9BF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EE54996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体育局根据《体育总局办公厅关于开展2024年度体育场地统计调查工作的通知》要求和《全国体育场地统计调查制度》(国统制〔2023〕131号)标准，以2024年12月31日为标准时点，组织开展体育场地统计调查工作。现将主要情况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布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 w14:paraId="6D44DF9F">
      <w:pPr>
        <w:spacing w:line="560" w:lineRule="exact"/>
        <w:rPr>
          <w:rFonts w:ascii="方正公文黑体" w:hAnsi="方正公文黑体" w:eastAsia="方正公文黑体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ascii="方正公文黑体" w:hAnsi="方正公文黑体" w:eastAsia="方正公文黑体"/>
          <w:sz w:val="32"/>
          <w:szCs w:val="32"/>
        </w:rPr>
        <w:t>一、体育场地总体情况</w:t>
      </w:r>
    </w:p>
    <w:p w14:paraId="0643D8C4"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截至2024年底，青岛市体育场地3.02万个，体育场地面积3494.17万平方米，青岛市人均体育场地面积3.35平方米。其中，事业单位的体育场地1225.84万平方米，占35.08%；企业的体育场地1295.56万平方米，占37.08%；村委会的体育场地390.13万平方米，占11.17%；居委会的体育场地257.06万平方米，占7.36%；机关的体育场地125.51万平方米，占3.59%；民办非企业单位的体育场地103.69万平方米，</w:t>
      </w:r>
      <w:bookmarkStart w:id="1" w:name="OLE_LINK1"/>
      <w:r>
        <w:rPr>
          <w:rFonts w:hint="eastAsia" w:ascii="仿宋_GB2312" w:hAnsi="仿宋_GB2312" w:eastAsia="仿宋_GB2312" w:cs="仿宋_GB2312"/>
          <w:sz w:val="32"/>
          <w:szCs w:val="32"/>
        </w:rPr>
        <w:t>占2.97%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；社会团体4.49万平方米，</w:t>
      </w:r>
      <w:bookmarkStart w:id="2" w:name="OLE_LINK2"/>
      <w:r>
        <w:rPr>
          <w:rFonts w:hint="eastAsia" w:ascii="仿宋_GB2312" w:hAnsi="仿宋_GB2312" w:eastAsia="仿宋_GB2312" w:cs="仿宋_GB2312"/>
          <w:sz w:val="32"/>
          <w:szCs w:val="32"/>
        </w:rPr>
        <w:t>占0.13%；</w:t>
      </w:r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农村专业合作社3.03万平方米，占0.09%；农村集体经济组织1.99万平方米，占0.06%；其他组织机构的体育场地86.81万平方米，占2.48%。基金会40平方米。</w:t>
      </w:r>
    </w:p>
    <w:p w14:paraId="73DF905F"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538470" cy="3644900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8856" cy="3645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27D0D">
      <w:pPr>
        <w:rPr>
          <w:rFonts w:ascii="仿宋" w:hAnsi="仿宋" w:eastAsia="仿宋"/>
          <w:sz w:val="32"/>
          <w:szCs w:val="32"/>
        </w:rPr>
      </w:pPr>
    </w:p>
    <w:p w14:paraId="74745554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体育场地3.0296万个。其中，篮球场地5626个，占18.57%；全民健身路径场地1.08万个，占35.89%；乒乓球场地2436个，占7.69%；羽毛球场地663个，占2.25%；田径场地1390个，占4.59%；健身房2194个，占7.24%；足球场地1651个，占5.45%；排球场地1681个，占5.55%；健身步道556个，占1.84%；游泳场地333个，占1.10%；其他场地2865个，占9.46%。</w:t>
      </w:r>
    </w:p>
    <w:p w14:paraId="2DFA7027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7BAD4CB9"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744845" cy="4747260"/>
            <wp:effectExtent l="0" t="0" r="825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4901" cy="4747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55D21">
      <w:pPr>
        <w:rPr>
          <w:rFonts w:ascii="仿宋" w:hAnsi="仿宋" w:eastAsia="仿宋"/>
          <w:sz w:val="32"/>
          <w:szCs w:val="32"/>
        </w:rPr>
      </w:pPr>
    </w:p>
    <w:p w14:paraId="45B281A5">
      <w:pPr>
        <w:ind w:firstLine="640" w:firstLineChars="200"/>
        <w:rPr>
          <w:rFonts w:ascii="方正公文黑体" w:hAnsi="方正公文黑体" w:eastAsia="方正公文黑体"/>
          <w:sz w:val="32"/>
          <w:szCs w:val="32"/>
        </w:rPr>
      </w:pPr>
      <w:r>
        <w:rPr>
          <w:rFonts w:hint="eastAsia" w:ascii="方正公文黑体" w:hAnsi="方正公文黑体" w:eastAsia="方正公文黑体"/>
          <w:sz w:val="32"/>
          <w:szCs w:val="32"/>
        </w:rPr>
        <w:t>二、基础大项场地</w:t>
      </w:r>
    </w:p>
    <w:p w14:paraId="43DFF99C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青岛市田径场地1390个，场地面积986.46万平方米。其中，田径场地266个，占19.14%；其他田径场地1124个，场地面积660.28万平方米。占80.86%。</w:t>
      </w:r>
    </w:p>
    <w:p w14:paraId="77BE5424">
      <w:pPr>
        <w:spacing w:line="560" w:lineRule="exact"/>
        <w:ind w:firstLine="640" w:firstLineChars="200"/>
        <w:rPr>
          <w:rFonts w:ascii="方正公文黑体" w:hAnsi="方正公文黑体" w:eastAsia="方正公文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青岛市游泳场地333个，场地面积298.05万平方米。其中，室外游泳池31个，占9.31%，场地面积1.47万平方米；室内游泳馆293个，占87.99%，场地面积221.10万平方米；天然游泳场9个，占2.7%，场地面积274.47万平方米。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方正公文黑体" w:hAnsi="方正公文黑体" w:eastAsia="方正公文黑体"/>
          <w:sz w:val="32"/>
          <w:szCs w:val="32"/>
        </w:rPr>
        <w:t xml:space="preserve"> </w:t>
      </w:r>
      <w:r>
        <w:rPr>
          <w:rFonts w:ascii="方正公文黑体" w:hAnsi="方正公文黑体" w:eastAsia="方正公文黑体"/>
          <w:sz w:val="32"/>
          <w:szCs w:val="32"/>
        </w:rPr>
        <w:t xml:space="preserve">   </w:t>
      </w:r>
      <w:r>
        <w:rPr>
          <w:rFonts w:hint="eastAsia" w:ascii="方正公文黑体" w:hAnsi="方正公文黑体" w:eastAsia="方正公文黑体"/>
          <w:sz w:val="32"/>
          <w:szCs w:val="32"/>
        </w:rPr>
        <w:t>三、球类运动场地</w:t>
      </w:r>
    </w:p>
    <w:p w14:paraId="5BAEDEDD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球类运动场地1.31万个，场地面积1681.80万平方米。其中，足球、篮球、排球“三大球”场地共8958个，占68.34%。剩余球类，乒乓球场地2436个，占18.58%；羽毛球场地663个，占5.06%；其他球类运动场地1051个，占8.02%。</w:t>
      </w:r>
    </w:p>
    <w:p w14:paraId="5EA8B2CE">
      <w:pPr>
        <w:rPr>
          <w:rFonts w:ascii="仿宋" w:hAnsi="仿宋" w:eastAsia="仿宋"/>
          <w:sz w:val="32"/>
          <w:szCs w:val="32"/>
        </w:rPr>
      </w:pPr>
    </w:p>
    <w:p w14:paraId="08E05F9B"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4476115" cy="3478530"/>
            <wp:effectExtent l="0" t="0" r="635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039" cy="353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07DD3">
      <w:pPr>
        <w:ind w:firstLine="643" w:firstLineChars="200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（一）足球场地</w:t>
      </w:r>
    </w:p>
    <w:p w14:paraId="4DA7CA30">
      <w:pPr>
        <w:spacing w:line="24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青岛市足球场地1651个，场地面积433.84万平方米。</w:t>
      </w:r>
    </w:p>
    <w:p w14:paraId="390478AB">
      <w:pPr>
        <w:spacing w:line="24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其中，十一人制足球场地339个，占20.53%；七人制足球场地477个，占28.89%；五人制足球场地833个，占50.45%。沙滩足球2个，占0.12%。</w:t>
      </w:r>
    </w:p>
    <w:p w14:paraId="7B95FACE">
      <w:pPr>
        <w:rPr>
          <w:rFonts w:ascii="仿宋" w:hAnsi="仿宋" w:eastAsia="仿宋"/>
          <w:sz w:val="32"/>
          <w:szCs w:val="32"/>
        </w:rPr>
      </w:pPr>
    </w:p>
    <w:p w14:paraId="43C3A400"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4848860" cy="2911475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967" cy="2911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774E2">
      <w:pPr>
        <w:ind w:firstLine="640" w:firstLineChars="200"/>
        <w:rPr>
          <w:rFonts w:ascii="仿宋" w:hAnsi="仿宋" w:eastAsia="仿宋"/>
          <w:sz w:val="32"/>
          <w:szCs w:val="32"/>
        </w:rPr>
      </w:pPr>
    </w:p>
    <w:p w14:paraId="58CBD69F">
      <w:pPr>
        <w:ind w:firstLine="643" w:firstLineChars="200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（二）篮球场地</w:t>
      </w:r>
    </w:p>
    <w:p w14:paraId="1EF56768">
      <w:pPr>
        <w:spacing w:line="24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青岛市篮球场地5626个，场地面积317.39万平方米。其中，篮球场4406个，占78.31%；三人篮球场743个，占13.21%；篮球馆477个，占8.48%。</w:t>
      </w:r>
    </w:p>
    <w:p w14:paraId="478CCBDC">
      <w:pPr>
        <w:ind w:left="420" w:leftChars="200"/>
        <w:jc w:val="center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4618355" cy="284607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8287" cy="28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590E8">
      <w:pPr>
        <w:ind w:left="420" w:left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（三）排球场地</w:t>
      </w:r>
    </w:p>
    <w:p w14:paraId="5C451A40">
      <w:pPr>
        <w:spacing w:line="24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青岛市排球场地1681个，场地面积46.83万平方米。其中，排球场1626个，占96.73%；排球馆42个，占2.50%；沙滩排球场13个，占0.77%。</w:t>
      </w:r>
    </w:p>
    <w:p w14:paraId="620D00C2">
      <w:pPr>
        <w:tabs>
          <w:tab w:val="left" w:pos="7162"/>
        </w:tabs>
        <w:rPr>
          <w:rFonts w:ascii="仿宋" w:hAnsi="仿宋" w:eastAsia="仿宋"/>
          <w:sz w:val="32"/>
          <w:szCs w:val="32"/>
        </w:rPr>
      </w:pPr>
    </w:p>
    <w:p w14:paraId="27E307D1">
      <w:pPr>
        <w:tabs>
          <w:tab w:val="left" w:pos="7162"/>
        </w:tabs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3689350" cy="221551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7731" cy="2220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FA1A2">
      <w:pPr>
        <w:rPr>
          <w:rFonts w:ascii="仿宋" w:hAnsi="仿宋" w:eastAsia="仿宋"/>
          <w:sz w:val="32"/>
          <w:szCs w:val="32"/>
        </w:rPr>
      </w:pPr>
    </w:p>
    <w:p w14:paraId="2BD8B359">
      <w:pPr>
        <w:ind w:firstLine="643" w:firstLineChars="200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（四）乒乓球场地</w:t>
      </w:r>
    </w:p>
    <w:p w14:paraId="33651B99">
      <w:pPr>
        <w:spacing w:line="24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青岛市乒乓球场地2436个，场地面积22.68万平方米。其中，乒乓球场1855个，占76.15%；乒乓球馆581个，占23.85%。</w:t>
      </w:r>
    </w:p>
    <w:p w14:paraId="48E0943F"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3378835" cy="20288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4259" cy="203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422A8">
      <w:pPr>
        <w:ind w:firstLine="643" w:firstLineChars="200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（五）羽毛球场地</w:t>
      </w:r>
    </w:p>
    <w:p w14:paraId="35D264D8">
      <w:pPr>
        <w:spacing w:line="24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青岛市羽毛球场地663个，场地面积25.28万平方米。</w:t>
      </w:r>
    </w:p>
    <w:p w14:paraId="637375D4">
      <w:pPr>
        <w:spacing w:line="24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其中，羽毛球场370个，占55.81%；羽毛球馆293个，占44.19%。</w:t>
      </w:r>
    </w:p>
    <w:p w14:paraId="5F7C2B2B"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3945255" cy="23691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6134" cy="2387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0F2B4">
      <w:pPr>
        <w:wordWrap w:val="0"/>
        <w:ind w:firstLine="640" w:firstLineChars="200"/>
        <w:rPr>
          <w:rFonts w:ascii="方正公文黑体" w:hAnsi="方正公文黑体" w:eastAsia="方正公文黑体"/>
          <w:sz w:val="32"/>
          <w:szCs w:val="32"/>
        </w:rPr>
      </w:pPr>
      <w:r>
        <w:rPr>
          <w:rFonts w:hint="eastAsia" w:ascii="方正公文黑体" w:hAnsi="方正公文黑体" w:eastAsia="方正公文黑体"/>
          <w:sz w:val="32"/>
          <w:szCs w:val="32"/>
        </w:rPr>
        <w:t>四、</w:t>
      </w:r>
      <w:bookmarkStart w:id="3" w:name="OLE_LINK3"/>
      <w:r>
        <w:rPr>
          <w:rFonts w:hint="eastAsia" w:ascii="方正公文黑体" w:hAnsi="方正公文黑体" w:eastAsia="方正公文黑体"/>
          <w:sz w:val="32"/>
          <w:szCs w:val="32"/>
        </w:rPr>
        <w:t>冰雪运动场地</w:t>
      </w:r>
      <w:bookmarkEnd w:id="3"/>
    </w:p>
    <w:p w14:paraId="08BBB451">
      <w:pPr>
        <w:spacing w:line="24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青岛市冰雪运动场地13个，场地面积54.90万平方米。其中，滑冰场地6个，占53.85%；滑雪场地7个，占46.15%。</w:t>
      </w:r>
    </w:p>
    <w:p w14:paraId="2401417F"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3832225" cy="2543810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667" cy="256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A7635">
      <w:pPr>
        <w:wordWrap w:val="0"/>
        <w:ind w:left="740" w:leftChars="200" w:hanging="320" w:hangingChars="100"/>
        <w:rPr>
          <w:rFonts w:ascii="方正公文黑体" w:hAnsi="方正公文黑体" w:eastAsia="方正公文黑体"/>
          <w:sz w:val="32"/>
          <w:szCs w:val="32"/>
        </w:rPr>
      </w:pPr>
      <w:r>
        <w:rPr>
          <w:rFonts w:ascii="方正公文黑体" w:hAnsi="方正公文黑体" w:eastAsia="方正公文黑体"/>
          <w:sz w:val="32"/>
          <w:szCs w:val="32"/>
        </w:rPr>
        <w:br w:type="textWrapping"/>
      </w:r>
      <w:r>
        <w:rPr>
          <w:rFonts w:hint="eastAsia" w:ascii="方正公文黑体" w:hAnsi="方正公文黑体" w:eastAsia="方正公文黑体"/>
          <w:sz w:val="32"/>
          <w:szCs w:val="32"/>
        </w:rPr>
        <w:t>五、体育健身场地</w:t>
      </w:r>
    </w:p>
    <w:p w14:paraId="60D5BD9F">
      <w:pPr>
        <w:spacing w:line="24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体育健身场地1.36万个，场地面积500.50万平方米。其中。全民健身路径1.08万个，占比79.81%，场地面积54.94万平方米。青岛市健身房2194个，占比16.11%，场地面积64.49万平方米；青岛市健身步道556个，占比4.08%，长度1328.74公里，场地面积381.06万平方米。</w:t>
      </w: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</w:p>
    <w:p w14:paraId="02D86BF6"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4872355" cy="3776345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859" cy="3809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FA161">
      <w:pPr>
        <w:widowControl/>
        <w:spacing w:before="100" w:beforeAutospacing="1" w:after="100" w:afterAutospacing="1"/>
        <w:jc w:val="center"/>
        <w:outlineLvl w:val="0"/>
        <w:rPr>
          <w:rFonts w:ascii="宋体" w:hAnsi="宋体" w:eastAsia="宋体" w:cs="宋体"/>
          <w:b/>
          <w:bCs/>
          <w:kern w:val="36"/>
          <w:sz w:val="36"/>
          <w:szCs w:val="36"/>
        </w:rPr>
      </w:pPr>
    </w:p>
    <w:p w14:paraId="10EE1934">
      <w:pPr>
        <w:widowControl/>
        <w:spacing w:before="100" w:beforeAutospacing="1" w:after="100" w:afterAutospacing="1"/>
        <w:jc w:val="center"/>
        <w:outlineLvl w:val="0"/>
        <w:rPr>
          <w:rFonts w:ascii="宋体" w:hAnsi="宋体" w:eastAsia="宋体" w:cs="宋体"/>
          <w:b/>
          <w:bCs/>
          <w:kern w:val="36"/>
          <w:sz w:val="36"/>
          <w:szCs w:val="36"/>
        </w:rPr>
      </w:pPr>
    </w:p>
    <w:p w14:paraId="6A6070D7">
      <w:pPr>
        <w:widowControl/>
        <w:spacing w:before="100" w:beforeAutospacing="1" w:after="100" w:afterAutospacing="1"/>
        <w:jc w:val="center"/>
        <w:outlineLvl w:val="0"/>
        <w:rPr>
          <w:rFonts w:ascii="宋体" w:hAnsi="宋体" w:eastAsia="宋体" w:cs="宋体"/>
          <w:b/>
          <w:bCs/>
          <w:kern w:val="36"/>
          <w:sz w:val="36"/>
          <w:szCs w:val="36"/>
        </w:rPr>
        <w:sectPr>
          <w:footerReference r:id="rId3" w:type="default"/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 w14:paraId="403CADCA">
      <w:pPr>
        <w:widowControl/>
        <w:spacing w:before="100" w:beforeAutospacing="1" w:after="100" w:afterAutospacing="1" w:line="100" w:lineRule="atLeast"/>
        <w:jc w:val="center"/>
        <w:outlineLvl w:val="0"/>
        <w:rPr>
          <w:rFonts w:ascii="宋体" w:hAnsi="宋体" w:eastAsia="宋体" w:cs="宋体"/>
          <w:b/>
          <w:bCs/>
          <w:kern w:val="36"/>
          <w:sz w:val="36"/>
          <w:szCs w:val="36"/>
        </w:rPr>
      </w:pPr>
      <w:r>
        <w:rPr>
          <w:rFonts w:ascii="宋体" w:hAnsi="宋体" w:eastAsia="宋体" w:cs="宋体"/>
          <w:b/>
          <w:bCs/>
          <w:kern w:val="36"/>
          <w:sz w:val="36"/>
          <w:szCs w:val="36"/>
        </w:rPr>
        <w:t>2024年度青岛市体育场地统计总表</w:t>
      </w:r>
    </w:p>
    <w:tbl>
      <w:tblPr>
        <w:tblStyle w:val="5"/>
        <w:tblW w:w="0" w:type="auto"/>
        <w:tblCellSpacing w:w="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3118"/>
        <w:gridCol w:w="2126"/>
        <w:gridCol w:w="1405"/>
      </w:tblGrid>
      <w:tr w14:paraId="6EF4B0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Header/>
          <w:tblCellSpacing w:w="15" w:type="dxa"/>
        </w:trPr>
        <w:tc>
          <w:tcPr>
            <w:tcW w:w="15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E40089">
            <w:pPr>
              <w:widowControl/>
              <w:spacing w:line="1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FF58606">
            <w:pPr>
              <w:widowControl/>
              <w:spacing w:line="1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  <w:t>指标名称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9237090">
            <w:pPr>
              <w:widowControl/>
              <w:spacing w:line="1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  <w:t>计算单位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FA24317">
            <w:pPr>
              <w:widowControl/>
              <w:spacing w:line="1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  <w:t>数量</w:t>
            </w:r>
          </w:p>
        </w:tc>
      </w:tr>
      <w:tr w14:paraId="06F956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3C13F098">
            <w:pPr>
              <w:widowControl/>
              <w:spacing w:line="100" w:lineRule="atLeast"/>
              <w:jc w:val="left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6401BE79">
            <w:pPr>
              <w:widowControl/>
              <w:spacing w:line="100" w:lineRule="atLeas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  <w:t>一、综合指标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31F51E32">
            <w:pPr>
              <w:widowControl/>
              <w:spacing w:line="100" w:lineRule="atLeas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23942FC5">
            <w:pPr>
              <w:widowControl/>
              <w:spacing w:line="100" w:lineRule="atLeas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40CC48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267C616F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0CB2B319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人均体育场地面积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3E8D7C68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平方米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54EA6FB5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3.35</w:t>
            </w:r>
          </w:p>
        </w:tc>
      </w:tr>
      <w:tr w14:paraId="652B3B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78193B18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7AFD0D76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体育场地数量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58FA70E9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1ACA7D07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.02万</w:t>
            </w:r>
          </w:p>
        </w:tc>
      </w:tr>
      <w:tr w14:paraId="6BE6B9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46A8B5C5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51521923">
            <w:pPr>
              <w:widowControl/>
              <w:spacing w:line="100" w:lineRule="atLeas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  <w:t>二、基础运动场地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559B33FF">
            <w:pPr>
              <w:widowControl/>
              <w:spacing w:line="10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3E26A723">
            <w:pPr>
              <w:widowControl/>
              <w:spacing w:line="10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059C33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0D7900D1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7620FB82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田径场地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6A5DA329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25493C54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1390</w:t>
            </w:r>
          </w:p>
        </w:tc>
      </w:tr>
      <w:tr w14:paraId="5572F5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5473EFDC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7EC5BA1D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游泳场地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0281D9A8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4A87C3E5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333</w:t>
            </w:r>
          </w:p>
        </w:tc>
      </w:tr>
      <w:tr w14:paraId="5D8F85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36308BF5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7F75F65D">
            <w:pPr>
              <w:widowControl/>
              <w:spacing w:line="100" w:lineRule="atLeas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  <w:t>三、球类运动场地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6B794F1C">
            <w:pPr>
              <w:widowControl/>
              <w:spacing w:line="10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27DCD2CB">
            <w:pPr>
              <w:widowControl/>
              <w:spacing w:line="10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41EF8B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6608D03C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7B296E14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足球场地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7F70DEC3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281ED574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651</w:t>
            </w:r>
          </w:p>
        </w:tc>
      </w:tr>
      <w:tr w14:paraId="0ECCEF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1DBFB961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5F377EC0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篮球场地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6F0674A6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65B5E988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5626</w:t>
            </w:r>
          </w:p>
        </w:tc>
      </w:tr>
      <w:tr w14:paraId="210524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670E082D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205C8309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排球场地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181BBE33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7B5C5A67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1681</w:t>
            </w:r>
          </w:p>
        </w:tc>
      </w:tr>
      <w:tr w14:paraId="601BAD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5D4C3E0E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50F58FA1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乒乓球场地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7793E695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0001CCD5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2436</w:t>
            </w:r>
          </w:p>
        </w:tc>
      </w:tr>
      <w:tr w14:paraId="6BF2BB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20E24BFF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248A32EE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羽毛球场地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64D09E43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32546D52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663</w:t>
            </w:r>
          </w:p>
        </w:tc>
      </w:tr>
      <w:tr w14:paraId="47D6669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5A18BFB6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027F8DC0">
            <w:pPr>
              <w:widowControl/>
              <w:spacing w:line="100" w:lineRule="atLeas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  <w:t>四、冰雪运动场地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726DB00D">
            <w:pPr>
              <w:widowControl/>
              <w:spacing w:line="10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7507D07E">
            <w:pPr>
              <w:widowControl/>
              <w:spacing w:line="10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566C3A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072A693A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01139CA8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滑冰场地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686D908D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4E4F61EA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</w:tr>
      <w:tr w14:paraId="66B548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110D414E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448F0A07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滑雪场地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3E808D54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64BAA0BC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</w:tr>
      <w:tr w14:paraId="619C3B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53AF22E5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00DA9B10">
            <w:pPr>
              <w:widowControl/>
              <w:spacing w:line="100" w:lineRule="atLeas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  <w:t>五、体育健身场地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5D7B6F8E">
            <w:pPr>
              <w:widowControl/>
              <w:spacing w:line="10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63738402">
            <w:pPr>
              <w:widowControl/>
              <w:spacing w:line="10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4F4D13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41B044ED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22511D2E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全民健身路径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1CD92277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510BDDE9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1.08 万</w:t>
            </w:r>
          </w:p>
        </w:tc>
      </w:tr>
      <w:tr w14:paraId="7D0832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vAlign w:val="center"/>
          </w:tcPr>
          <w:p w14:paraId="5AF9B4FC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3088" w:type="dxa"/>
            <w:tcBorders>
              <w:left w:val="single" w:color="auto" w:sz="4" w:space="0"/>
            </w:tcBorders>
            <w:vAlign w:val="center"/>
          </w:tcPr>
          <w:p w14:paraId="38A10429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健身房</w:t>
            </w:r>
          </w:p>
        </w:tc>
        <w:tc>
          <w:tcPr>
            <w:tcW w:w="2096" w:type="dxa"/>
            <w:tcBorders>
              <w:left w:val="single" w:color="auto" w:sz="4" w:space="0"/>
            </w:tcBorders>
            <w:vAlign w:val="center"/>
          </w:tcPr>
          <w:p w14:paraId="14295FDB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124F0890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2194</w:t>
            </w:r>
          </w:p>
        </w:tc>
      </w:tr>
      <w:tr w14:paraId="625062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15" w:type="dxa"/>
        </w:trPr>
        <w:tc>
          <w:tcPr>
            <w:tcW w:w="1515" w:type="dxa"/>
            <w:tcBorders>
              <w:bottom w:val="single" w:color="auto" w:sz="4" w:space="0"/>
            </w:tcBorders>
            <w:vAlign w:val="center"/>
          </w:tcPr>
          <w:p w14:paraId="3E74662D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308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2809D33">
            <w:pPr>
              <w:widowControl/>
              <w:spacing w:line="10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健身步道</w:t>
            </w:r>
          </w:p>
        </w:tc>
        <w:tc>
          <w:tcPr>
            <w:tcW w:w="209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B1B60A0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个 / 公里</w:t>
            </w: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456D5AF">
            <w:pPr>
              <w:widowControl/>
              <w:spacing w:line="10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556/1328.74</w:t>
            </w:r>
          </w:p>
        </w:tc>
      </w:tr>
    </w:tbl>
    <w:p w14:paraId="2B8384B6">
      <w:pPr>
        <w:tabs>
          <w:tab w:val="left" w:pos="1665"/>
        </w:tabs>
        <w:spacing w:line="100" w:lineRule="atLeast"/>
        <w:rPr>
          <w:rFonts w:ascii="仿宋" w:hAnsi="仿宋" w:eastAsia="仿宋"/>
          <w:sz w:val="32"/>
          <w:szCs w:val="32"/>
        </w:rPr>
      </w:pPr>
    </w:p>
    <w:sectPr>
      <w:pgSz w:w="11906" w:h="16838"/>
      <w:pgMar w:top="113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1349676"/>
      <w:docPartObj>
        <w:docPartGallery w:val="autotext"/>
      </w:docPartObj>
    </w:sdtPr>
    <w:sdtContent>
      <w:p w14:paraId="5516C111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4F98FD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832"/>
    <w:rsid w:val="00042CF5"/>
    <w:rsid w:val="000D7792"/>
    <w:rsid w:val="000D7A3F"/>
    <w:rsid w:val="001229B3"/>
    <w:rsid w:val="0015321B"/>
    <w:rsid w:val="001D20BF"/>
    <w:rsid w:val="00217970"/>
    <w:rsid w:val="002A6E4B"/>
    <w:rsid w:val="00327508"/>
    <w:rsid w:val="003324D0"/>
    <w:rsid w:val="00381CAB"/>
    <w:rsid w:val="00381F7B"/>
    <w:rsid w:val="003A0240"/>
    <w:rsid w:val="00417285"/>
    <w:rsid w:val="004749E2"/>
    <w:rsid w:val="004B2B17"/>
    <w:rsid w:val="004F0B18"/>
    <w:rsid w:val="005B1CB1"/>
    <w:rsid w:val="005D31E0"/>
    <w:rsid w:val="005E62B8"/>
    <w:rsid w:val="005E7638"/>
    <w:rsid w:val="006156EF"/>
    <w:rsid w:val="006172EA"/>
    <w:rsid w:val="00697D45"/>
    <w:rsid w:val="006B2A45"/>
    <w:rsid w:val="006F529B"/>
    <w:rsid w:val="00723EC0"/>
    <w:rsid w:val="007267B5"/>
    <w:rsid w:val="00764CF3"/>
    <w:rsid w:val="007B0D14"/>
    <w:rsid w:val="007E387A"/>
    <w:rsid w:val="008608F7"/>
    <w:rsid w:val="008A6106"/>
    <w:rsid w:val="008B45A0"/>
    <w:rsid w:val="009601E9"/>
    <w:rsid w:val="00994911"/>
    <w:rsid w:val="00A11961"/>
    <w:rsid w:val="00A31293"/>
    <w:rsid w:val="00A316CE"/>
    <w:rsid w:val="00A8347C"/>
    <w:rsid w:val="00A96E8D"/>
    <w:rsid w:val="00AC3D17"/>
    <w:rsid w:val="00AD1C22"/>
    <w:rsid w:val="00B03471"/>
    <w:rsid w:val="00B06BCA"/>
    <w:rsid w:val="00B15B2E"/>
    <w:rsid w:val="00B567B6"/>
    <w:rsid w:val="00B7366B"/>
    <w:rsid w:val="00B80D2C"/>
    <w:rsid w:val="00C11DB2"/>
    <w:rsid w:val="00C237E8"/>
    <w:rsid w:val="00C3131D"/>
    <w:rsid w:val="00C36E15"/>
    <w:rsid w:val="00CB7D39"/>
    <w:rsid w:val="00CF1675"/>
    <w:rsid w:val="00CF2894"/>
    <w:rsid w:val="00CF32A9"/>
    <w:rsid w:val="00D0342D"/>
    <w:rsid w:val="00D24832"/>
    <w:rsid w:val="00D24ED8"/>
    <w:rsid w:val="00D2768E"/>
    <w:rsid w:val="00D404A3"/>
    <w:rsid w:val="00D4309D"/>
    <w:rsid w:val="00DB4124"/>
    <w:rsid w:val="00E22EC0"/>
    <w:rsid w:val="00E55A6D"/>
    <w:rsid w:val="00E83189"/>
    <w:rsid w:val="00F4306A"/>
    <w:rsid w:val="00F52A06"/>
    <w:rsid w:val="00F5386D"/>
    <w:rsid w:val="00F66721"/>
    <w:rsid w:val="00F70E1A"/>
    <w:rsid w:val="00F95C2C"/>
    <w:rsid w:val="00F97EB1"/>
    <w:rsid w:val="04EC3711"/>
    <w:rsid w:val="0E277D27"/>
    <w:rsid w:val="6E40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1376</Words>
  <Characters>1920</Characters>
  <Lines>14</Lines>
  <Paragraphs>4</Paragraphs>
  <TotalTime>724</TotalTime>
  <ScaleCrop>false</ScaleCrop>
  <LinksUpToDate>false</LinksUpToDate>
  <CharactersWithSpaces>1935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2025-02-09T12:49:00Z</dcterms:created>
  <dc:creator>未来视界</dc:creator>
  <cp:lastModifiedBy>东风</cp:lastModifiedBy>
  <cp:lastPrinted>2025-04-25T09:06:00Z</cp:lastPrinted>
  <dcterms:modified xsi:type="dcterms:W3CDTF">2025-04-27T02:21:12Z</dcterms:modified>
  <cp:revision>178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eyJoZGlkIjoiYmNiZjQ0NGJlODllMDYzMWEyODlmODFlZjcyYzViNWUiLCJ1c2VySWQiOiIxMTcyNTMwNDUwIn0=</vt:lpwstr>
  </property>
  <property fmtid="{D5CDD505-2E9C-101B-9397-08002B2CF9AE}" pid="3" name="KSOProductBuildVer">
    <vt:lpwstr>2052-12.1.0.20784</vt:lpwstr>
  </property>
  <property fmtid="{D5CDD505-2E9C-101B-9397-08002B2CF9AE}" pid="4" name="ICV">
    <vt:lpwstr>86AAA7CA652E470185FA1AD4F6241B1D_12</vt:lpwstr>
  </property>
</Properties>
</file>