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支持集成电路产业发展资金</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绩效评价报告</w:t>
      </w:r>
    </w:p>
    <w:p>
      <w:pPr>
        <w:spacing w:line="600" w:lineRule="exact"/>
        <w:rPr>
          <w:rFonts w:ascii="楷体_GB2312" w:hAnsi="楷体_GB2312" w:eastAsia="楷体_GB2312" w:cs="楷体_GB2312"/>
          <w:color w:val="auto"/>
          <w:sz w:val="32"/>
          <w:szCs w:val="40"/>
          <w:highlight w:val="none"/>
        </w:rPr>
      </w:pPr>
    </w:p>
    <w:p>
      <w:pPr>
        <w:pStyle w:val="2"/>
        <w:bidi w:val="0"/>
        <w:rPr>
          <w:color w:val="auto"/>
          <w:highlight w:val="none"/>
        </w:rPr>
      </w:pPr>
      <w:bookmarkStart w:id="0" w:name="_Toc31097"/>
      <w:bookmarkStart w:id="1" w:name="_Toc3756"/>
      <w:bookmarkStart w:id="2" w:name="_Toc6991"/>
      <w:bookmarkStart w:id="3" w:name="_Toc22428"/>
      <w:bookmarkStart w:id="4" w:name="_Toc1653"/>
      <w:r>
        <w:rPr>
          <w:rFonts w:hint="eastAsia"/>
          <w:color w:val="auto"/>
          <w:highlight w:val="none"/>
        </w:rPr>
        <w:t>一、</w:t>
      </w:r>
      <w:r>
        <w:rPr>
          <w:rFonts w:hint="eastAsia"/>
          <w:color w:val="auto"/>
          <w:highlight w:val="none"/>
          <w:lang w:eastAsia="zh-CN"/>
        </w:rPr>
        <w:t>政策</w:t>
      </w:r>
      <w:r>
        <w:rPr>
          <w:rFonts w:hint="eastAsia"/>
          <w:color w:val="auto"/>
          <w:highlight w:val="none"/>
        </w:rPr>
        <w:t>基本情况</w:t>
      </w:r>
      <w:bookmarkEnd w:id="0"/>
      <w:bookmarkEnd w:id="1"/>
      <w:bookmarkEnd w:id="2"/>
      <w:bookmarkEnd w:id="3"/>
      <w:bookmarkEnd w:id="4"/>
    </w:p>
    <w:p>
      <w:pPr>
        <w:pStyle w:val="3"/>
        <w:bidi w:val="0"/>
        <w:rPr>
          <w:color w:val="auto"/>
          <w:highlight w:val="none"/>
        </w:rPr>
      </w:pPr>
      <w:bookmarkStart w:id="5" w:name="_Toc11874"/>
      <w:bookmarkStart w:id="6" w:name="_Toc19959"/>
      <w:bookmarkStart w:id="7" w:name="_Toc13029"/>
      <w:bookmarkStart w:id="8" w:name="_Toc27224"/>
      <w:bookmarkStart w:id="9" w:name="_Toc17198"/>
      <w:r>
        <w:rPr>
          <w:rFonts w:hint="eastAsia"/>
          <w:color w:val="auto"/>
          <w:highlight w:val="none"/>
        </w:rPr>
        <w:t>（一）</w:t>
      </w:r>
      <w:r>
        <w:rPr>
          <w:rFonts w:hint="eastAsia"/>
          <w:color w:val="auto"/>
          <w:highlight w:val="none"/>
          <w:lang w:eastAsia="zh-CN"/>
        </w:rPr>
        <w:t>政策</w:t>
      </w:r>
      <w:r>
        <w:rPr>
          <w:rFonts w:hint="eastAsia"/>
          <w:color w:val="auto"/>
          <w:highlight w:val="none"/>
        </w:rPr>
        <w:t>概况</w:t>
      </w:r>
      <w:bookmarkEnd w:id="5"/>
      <w:bookmarkEnd w:id="6"/>
      <w:bookmarkEnd w:id="7"/>
      <w:bookmarkEnd w:id="8"/>
      <w:bookmarkEnd w:id="9"/>
    </w:p>
    <w:p>
      <w:pPr>
        <w:spacing w:line="600" w:lineRule="exact"/>
        <w:ind w:firstLine="643" w:firstLineChars="200"/>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b/>
          <w:bCs/>
          <w:color w:val="auto"/>
          <w:sz w:val="32"/>
          <w:szCs w:val="40"/>
          <w:highlight w:val="none"/>
        </w:rPr>
        <w:t>1.</w:t>
      </w:r>
      <w:r>
        <w:rPr>
          <w:rFonts w:hint="eastAsia" w:cs="仿宋_GB2312"/>
          <w:b/>
          <w:bCs/>
          <w:color w:val="auto"/>
          <w:sz w:val="32"/>
          <w:szCs w:val="40"/>
          <w:highlight w:val="none"/>
          <w:lang w:eastAsia="zh-CN"/>
        </w:rPr>
        <w:t>政策</w:t>
      </w:r>
      <w:r>
        <w:rPr>
          <w:rFonts w:hint="eastAsia" w:ascii="仿宋_GB2312" w:hAnsi="仿宋_GB2312" w:eastAsia="仿宋_GB2312" w:cs="仿宋_GB2312"/>
          <w:b/>
          <w:bCs/>
          <w:color w:val="auto"/>
          <w:sz w:val="32"/>
          <w:szCs w:val="40"/>
          <w:highlight w:val="none"/>
        </w:rPr>
        <w:t>背景</w:t>
      </w:r>
    </w:p>
    <w:p>
      <w:pPr>
        <w:keepNext w:val="0"/>
        <w:keepLines w:val="0"/>
        <w:pageBreakBefore w:val="0"/>
        <w:widowControl/>
        <w:suppressLineNumbers w:val="0"/>
        <w:topLinePunct w:val="0"/>
        <w:bidi w:val="0"/>
        <w:spacing w:after="0"/>
        <w:ind w:firstLine="640"/>
        <w:jc w:val="both"/>
        <w:rPr>
          <w:rFonts w:hint="default" w:ascii="仿宋_GB2312" w:eastAsia="仿宋_GB2312" w:cs="Times New Roman" w:hAnsiTheme="minorHAnsi"/>
          <w:b w:val="0"/>
          <w:bCs w:val="0"/>
          <w:color w:val="auto"/>
          <w:kern w:val="2"/>
          <w:sz w:val="32"/>
          <w:szCs w:val="22"/>
          <w:highlight w:val="none"/>
          <w:lang w:val="en-US" w:eastAsia="zh-CN" w:bidi="ar-SA"/>
        </w:rPr>
      </w:pPr>
      <w:r>
        <w:rPr>
          <w:rFonts w:hint="default" w:cs="Times New Roman" w:hAnsiTheme="minorHAnsi"/>
          <w:color w:val="auto"/>
          <w:szCs w:val="22"/>
          <w:highlight w:val="none"/>
        </w:rPr>
        <w:t>集成电路产业是信息技术产业的核心，是支撑经济社会发展和保障国家安全的战略性、基础性和先导性产业</w:t>
      </w:r>
      <w:r>
        <w:rPr>
          <w:rFonts w:hint="eastAsia" w:cs="Times New Roman" w:hAnsiTheme="minorHAnsi"/>
          <w:b w:val="0"/>
          <w:bCs w:val="0"/>
          <w:color w:val="auto"/>
          <w:kern w:val="2"/>
          <w:sz w:val="32"/>
          <w:szCs w:val="22"/>
          <w:highlight w:val="none"/>
          <w:lang w:val="en-US" w:eastAsia="zh-CN" w:bidi="ar-SA"/>
        </w:rPr>
        <w:t>。</w:t>
      </w:r>
      <w:r>
        <w:rPr>
          <w:rFonts w:hint="default" w:ascii="仿宋_GB2312" w:eastAsia="仿宋_GB2312" w:cs="Times New Roman" w:hAnsiTheme="minorHAnsi"/>
          <w:b w:val="0"/>
          <w:bCs w:val="0"/>
          <w:color w:val="auto"/>
          <w:kern w:val="2"/>
          <w:sz w:val="32"/>
          <w:szCs w:val="22"/>
          <w:highlight w:val="none"/>
          <w:lang w:val="en-US" w:eastAsia="zh-CN" w:bidi="ar-SA"/>
        </w:rPr>
        <w:t>随着《国家集成电路产业发展推进纲要》《国务院关于印发新时期促进集成电路产业和软件产业高质量发展若干政策的通知》（国发〔2020〕8号）等政策的相继出台，国内</w:t>
      </w:r>
      <w:r>
        <w:rPr>
          <w:rFonts w:hint="default" w:cs="Times New Roman" w:hAnsiTheme="minorHAnsi"/>
          <w:color w:val="auto"/>
          <w:szCs w:val="22"/>
          <w:highlight w:val="none"/>
        </w:rPr>
        <w:t>集成电路产业快速发展，整体实力显著提升</w:t>
      </w:r>
      <w:r>
        <w:rPr>
          <w:rFonts w:hint="default" w:ascii="仿宋_GB2312" w:eastAsia="仿宋_GB2312" w:cs="Times New Roman" w:hAnsiTheme="minorHAnsi"/>
          <w:b w:val="0"/>
          <w:bCs w:val="0"/>
          <w:color w:val="auto"/>
          <w:kern w:val="2"/>
          <w:sz w:val="32"/>
          <w:szCs w:val="22"/>
          <w:highlight w:val="none"/>
          <w:lang w:val="en-US" w:eastAsia="zh-CN" w:bidi="ar-SA"/>
        </w:rPr>
        <w:t>。</w:t>
      </w:r>
      <w:r>
        <w:rPr>
          <w:rFonts w:hint="eastAsia" w:cs="Times New Roman" w:hAnsiTheme="minorHAnsi"/>
          <w:b w:val="0"/>
          <w:bCs w:val="0"/>
          <w:color w:val="auto"/>
          <w:kern w:val="2"/>
          <w:sz w:val="32"/>
          <w:szCs w:val="22"/>
          <w:highlight w:val="none"/>
          <w:lang w:val="en-US" w:eastAsia="zh-CN" w:bidi="ar-SA"/>
        </w:rPr>
        <w:t>青岛</w:t>
      </w:r>
      <w:r>
        <w:rPr>
          <w:rFonts w:hint="default" w:ascii="仿宋_GB2312" w:eastAsia="仿宋_GB2312" w:cs="Times New Roman" w:hAnsiTheme="minorHAnsi"/>
          <w:b w:val="0"/>
          <w:bCs w:val="0"/>
          <w:color w:val="auto"/>
          <w:kern w:val="2"/>
          <w:sz w:val="32"/>
          <w:szCs w:val="22"/>
          <w:highlight w:val="none"/>
          <w:lang w:val="en-US" w:eastAsia="zh-CN" w:bidi="ar-SA"/>
        </w:rPr>
        <w:t>市委、市政府</w:t>
      </w:r>
      <w:r>
        <w:rPr>
          <w:rFonts w:hint="eastAsia" w:cs="Times New Roman" w:hAnsiTheme="minorHAnsi"/>
          <w:b w:val="0"/>
          <w:bCs w:val="0"/>
          <w:color w:val="auto"/>
          <w:kern w:val="2"/>
          <w:sz w:val="32"/>
          <w:szCs w:val="22"/>
          <w:highlight w:val="none"/>
          <w:lang w:val="en-US" w:eastAsia="zh-CN" w:bidi="ar-SA"/>
        </w:rPr>
        <w:t>高度重视集成电路产业的发展，青岛</w:t>
      </w:r>
      <w:r>
        <w:rPr>
          <w:rFonts w:hint="default" w:ascii="仿宋_GB2312" w:eastAsia="仿宋_GB2312" w:cs="Times New Roman" w:hAnsiTheme="minorHAnsi"/>
          <w:b w:val="0"/>
          <w:bCs w:val="0"/>
          <w:color w:val="auto"/>
          <w:kern w:val="2"/>
          <w:sz w:val="32"/>
          <w:szCs w:val="22"/>
          <w:highlight w:val="none"/>
          <w:lang w:val="en-US" w:eastAsia="zh-CN" w:bidi="ar-SA"/>
        </w:rPr>
        <w:t>市第十三次党代会将集成电路产业列入十大新兴产业首位。近年来，</w:t>
      </w:r>
      <w:r>
        <w:rPr>
          <w:rFonts w:hint="eastAsia" w:cs="Times New Roman" w:hAnsiTheme="minorHAnsi"/>
          <w:b w:val="0"/>
          <w:bCs w:val="0"/>
          <w:color w:val="auto"/>
          <w:kern w:val="2"/>
          <w:sz w:val="32"/>
          <w:szCs w:val="22"/>
          <w:highlight w:val="none"/>
          <w:lang w:val="en-US" w:eastAsia="zh-CN" w:bidi="ar-SA"/>
        </w:rPr>
        <w:t>青岛</w:t>
      </w:r>
      <w:r>
        <w:rPr>
          <w:rFonts w:hint="default" w:ascii="仿宋_GB2312" w:eastAsia="仿宋_GB2312" w:cs="Times New Roman" w:hAnsiTheme="minorHAnsi"/>
          <w:b w:val="0"/>
          <w:bCs w:val="0"/>
          <w:color w:val="auto"/>
          <w:kern w:val="2"/>
          <w:sz w:val="32"/>
          <w:szCs w:val="22"/>
          <w:highlight w:val="none"/>
          <w:lang w:val="en-US" w:eastAsia="zh-CN" w:bidi="ar-SA"/>
        </w:rPr>
        <w:t>市集成电路产业取得突破，初步构建起全产业链发展格局。</w:t>
      </w:r>
    </w:p>
    <w:p>
      <w:pPr>
        <w:bidi w:val="0"/>
        <w:rPr>
          <w:rFonts w:hint="eastAsia" w:cs="Times New Roman" w:hAnsiTheme="minorHAnsi"/>
          <w:b w:val="0"/>
          <w:bCs w:val="0"/>
          <w:color w:val="auto"/>
          <w:kern w:val="2"/>
          <w:sz w:val="32"/>
          <w:szCs w:val="22"/>
          <w:highlight w:val="none"/>
          <w:lang w:val="en-US" w:eastAsia="zh-CN" w:bidi="ar-SA"/>
        </w:rPr>
      </w:pPr>
      <w:r>
        <w:rPr>
          <w:rFonts w:hint="eastAsia" w:ascii="仿宋_GB2312" w:eastAsia="仿宋_GB2312" w:cs="Times New Roman" w:hAnsiTheme="minorHAnsi"/>
          <w:b w:val="0"/>
          <w:bCs w:val="0"/>
          <w:color w:val="auto"/>
          <w:kern w:val="2"/>
          <w:sz w:val="32"/>
          <w:szCs w:val="22"/>
          <w:highlight w:val="none"/>
          <w:lang w:val="en-US" w:eastAsia="zh-CN" w:bidi="ar-SA"/>
        </w:rPr>
        <w:t>2022年5月，为加快推进集成电路产业发展，提升产业核心竞争力，青岛市人民政府办公厅印发《青岛市加快集成电路产业发展的若干政策措施</w:t>
      </w:r>
      <w:r>
        <w:rPr>
          <w:rFonts w:hint="eastAsia" w:cs="Times New Roman" w:hAnsiTheme="minorHAnsi"/>
          <w:b w:val="0"/>
          <w:bCs w:val="0"/>
          <w:color w:val="auto"/>
          <w:kern w:val="2"/>
          <w:sz w:val="32"/>
          <w:szCs w:val="22"/>
          <w:highlight w:val="none"/>
          <w:lang w:val="en-US" w:eastAsia="zh-CN" w:bidi="ar-SA"/>
        </w:rPr>
        <w:t>的通知</w:t>
      </w:r>
      <w:r>
        <w:rPr>
          <w:rFonts w:hint="eastAsia" w:ascii="仿宋_GB2312" w:eastAsia="仿宋_GB2312" w:cs="Times New Roman" w:hAnsiTheme="minorHAnsi"/>
          <w:b w:val="0"/>
          <w:bCs w:val="0"/>
          <w:color w:val="auto"/>
          <w:kern w:val="2"/>
          <w:sz w:val="32"/>
          <w:szCs w:val="22"/>
          <w:highlight w:val="none"/>
          <w:lang w:val="en-US" w:eastAsia="zh-CN" w:bidi="ar-SA"/>
        </w:rPr>
        <w:t>》（青政办字〔2022〕26号）</w:t>
      </w:r>
      <w:r>
        <w:rPr>
          <w:rFonts w:hint="eastAsia" w:cs="Times New Roman" w:hAnsiTheme="minorHAnsi"/>
          <w:b w:val="0"/>
          <w:bCs w:val="0"/>
          <w:color w:val="auto"/>
          <w:kern w:val="2"/>
          <w:sz w:val="32"/>
          <w:szCs w:val="22"/>
          <w:highlight w:val="none"/>
          <w:lang w:val="en-US" w:eastAsia="zh-CN" w:bidi="ar-SA"/>
        </w:rPr>
        <w:t>，</w:t>
      </w:r>
      <w:r>
        <w:rPr>
          <w:rFonts w:hint="default" w:ascii="仿宋_GB2312" w:eastAsia="仿宋_GB2312" w:cs="Times New Roman" w:hAnsiTheme="minorHAnsi"/>
          <w:b w:val="0"/>
          <w:bCs w:val="0"/>
          <w:color w:val="auto"/>
          <w:kern w:val="2"/>
          <w:sz w:val="32"/>
          <w:szCs w:val="22"/>
          <w:highlight w:val="none"/>
          <w:lang w:val="en-US" w:eastAsia="zh-CN" w:bidi="ar-SA"/>
        </w:rPr>
        <w:t>从企业上规模、产品研发、</w:t>
      </w:r>
      <w:r>
        <w:rPr>
          <w:rFonts w:hint="eastAsia" w:cs="Times New Roman" w:hAnsiTheme="minorHAnsi"/>
          <w:b w:val="0"/>
          <w:bCs w:val="0"/>
          <w:color w:val="auto"/>
          <w:kern w:val="2"/>
          <w:sz w:val="32"/>
          <w:szCs w:val="22"/>
          <w:highlight w:val="none"/>
          <w:lang w:val="en-US" w:eastAsia="zh-CN" w:bidi="ar-SA"/>
        </w:rPr>
        <w:t>产品推广、</w:t>
      </w:r>
      <w:r>
        <w:rPr>
          <w:rFonts w:hint="default" w:ascii="仿宋_GB2312" w:eastAsia="仿宋_GB2312" w:cs="Times New Roman" w:hAnsiTheme="minorHAnsi"/>
          <w:b w:val="0"/>
          <w:bCs w:val="0"/>
          <w:color w:val="auto"/>
          <w:kern w:val="2"/>
          <w:sz w:val="32"/>
          <w:szCs w:val="22"/>
          <w:highlight w:val="none"/>
          <w:lang w:val="en-US" w:eastAsia="zh-CN" w:bidi="ar-SA"/>
        </w:rPr>
        <w:t>平台建设、产业人才等方面给予政策支持，共制定10条</w:t>
      </w:r>
      <w:r>
        <w:rPr>
          <w:rFonts w:hint="eastAsia" w:cs="Times New Roman" w:hAnsiTheme="minorHAnsi"/>
          <w:b w:val="0"/>
          <w:bCs w:val="0"/>
          <w:color w:val="auto"/>
          <w:kern w:val="2"/>
          <w:sz w:val="32"/>
          <w:szCs w:val="22"/>
          <w:highlight w:val="none"/>
          <w:lang w:val="en-US" w:eastAsia="zh-CN" w:bidi="ar-SA"/>
        </w:rPr>
        <w:t>政策</w:t>
      </w:r>
      <w:r>
        <w:rPr>
          <w:rFonts w:hint="default" w:ascii="仿宋_GB2312" w:eastAsia="仿宋_GB2312" w:cs="Times New Roman" w:hAnsiTheme="minorHAnsi"/>
          <w:b w:val="0"/>
          <w:bCs w:val="0"/>
          <w:color w:val="auto"/>
          <w:kern w:val="2"/>
          <w:sz w:val="32"/>
          <w:szCs w:val="22"/>
          <w:highlight w:val="none"/>
          <w:lang w:val="en-US" w:eastAsia="zh-CN" w:bidi="ar-SA"/>
        </w:rPr>
        <w:t>支持措施。</w:t>
      </w:r>
      <w:r>
        <w:rPr>
          <w:rFonts w:hint="eastAsia" w:cs="Times New Roman" w:hAnsiTheme="minorHAnsi"/>
          <w:b w:val="0"/>
          <w:bCs w:val="0"/>
          <w:color w:val="auto"/>
          <w:kern w:val="2"/>
          <w:sz w:val="32"/>
          <w:szCs w:val="22"/>
          <w:highlight w:val="none"/>
          <w:lang w:val="en-US" w:eastAsia="zh-CN" w:bidi="ar-SA"/>
        </w:rPr>
        <w:t>同年10月，青岛市工业和信息化局立足部门职能定位，对政策体系中涉及本部门职责范畴的8项具体措施进行了细化，并联合青岛市财政局制定了《青岛市加快集成电路产业发展若干政策措施实施细则》（以下简称《实施细则》），进一步明确政策兑现的申报事项、申报程序、职责分工、监督检查等要求。</w:t>
      </w:r>
    </w:p>
    <w:p>
      <w:pPr>
        <w:bidi w:val="0"/>
        <w:rPr>
          <w:rFonts w:hint="default" w:eastAsia="仿宋_GB2312"/>
          <w:color w:val="auto"/>
          <w:highlight w:val="none"/>
          <w:lang w:val="en-US" w:eastAsia="zh-CN"/>
        </w:rPr>
      </w:pPr>
      <w:r>
        <w:rPr>
          <w:rFonts w:hint="eastAsia"/>
          <w:color w:val="auto"/>
          <w:highlight w:val="none"/>
          <w:lang w:val="en-US" w:eastAsia="zh-CN"/>
        </w:rPr>
        <w:t>2023年4月，青岛市工业和信息化局印发《青岛市2024年度集成电路产业发展预算资金项目的申报指南的通知》（</w:t>
      </w:r>
      <w:r>
        <w:rPr>
          <w:rFonts w:hint="eastAsia" w:cs="Times New Roman" w:hAnsiTheme="minorHAnsi"/>
          <w:b w:val="0"/>
          <w:bCs w:val="0"/>
          <w:color w:val="auto"/>
          <w:kern w:val="2"/>
          <w:sz w:val="32"/>
          <w:szCs w:val="22"/>
          <w:highlight w:val="none"/>
          <w:lang w:val="en-US" w:eastAsia="zh-CN" w:bidi="ar-SA"/>
        </w:rPr>
        <w:t>青工信字</w:t>
      </w:r>
      <w:r>
        <w:rPr>
          <w:rFonts w:hint="eastAsia" w:ascii="仿宋_GB2312" w:eastAsia="仿宋_GB2312" w:cs="Times New Roman" w:hAnsiTheme="minorHAnsi"/>
          <w:i w:val="0"/>
          <w:iCs w:val="0"/>
          <w:caps w:val="0"/>
          <w:color w:val="auto"/>
          <w:spacing w:val="0"/>
          <w:kern w:val="2"/>
          <w:sz w:val="32"/>
          <w:szCs w:val="22"/>
          <w:highlight w:val="none"/>
          <w:u w:val="none"/>
          <w:lang w:val="en-US" w:eastAsia="zh" w:bidi="ar-SA"/>
        </w:rPr>
        <w:t>〔20</w:t>
      </w:r>
      <w:r>
        <w:rPr>
          <w:rFonts w:hint="eastAsia" w:cs="Times New Roman" w:hAnsiTheme="minorHAnsi"/>
          <w:i w:val="0"/>
          <w:iCs w:val="0"/>
          <w:caps w:val="0"/>
          <w:color w:val="auto"/>
          <w:spacing w:val="0"/>
          <w:kern w:val="2"/>
          <w:sz w:val="32"/>
          <w:szCs w:val="22"/>
          <w:highlight w:val="none"/>
          <w:u w:val="none"/>
          <w:lang w:val="en-US" w:eastAsia="zh-CN" w:bidi="ar-SA"/>
        </w:rPr>
        <w:t>23</w:t>
      </w:r>
      <w:r>
        <w:rPr>
          <w:rFonts w:hint="eastAsia" w:ascii="仿宋_GB2312" w:eastAsia="仿宋_GB2312" w:cs="Times New Roman" w:hAnsiTheme="minorHAnsi"/>
          <w:i w:val="0"/>
          <w:iCs w:val="0"/>
          <w:caps w:val="0"/>
          <w:color w:val="auto"/>
          <w:spacing w:val="0"/>
          <w:kern w:val="2"/>
          <w:sz w:val="32"/>
          <w:szCs w:val="22"/>
          <w:highlight w:val="none"/>
          <w:u w:val="none"/>
          <w:lang w:val="en-US" w:eastAsia="zh" w:bidi="ar-SA"/>
        </w:rPr>
        <w:t>〕</w:t>
      </w:r>
      <w:r>
        <w:rPr>
          <w:rFonts w:hint="eastAsia" w:cs="Times New Roman" w:hAnsiTheme="minorHAnsi"/>
          <w:b w:val="0"/>
          <w:bCs w:val="0"/>
          <w:color w:val="auto"/>
          <w:kern w:val="2"/>
          <w:sz w:val="32"/>
          <w:szCs w:val="22"/>
          <w:highlight w:val="none"/>
          <w:lang w:val="en-US" w:eastAsia="zh-CN" w:bidi="ar-SA"/>
        </w:rPr>
        <w:t>25号</w:t>
      </w:r>
      <w:r>
        <w:rPr>
          <w:rFonts w:hint="eastAsia"/>
          <w:color w:val="auto"/>
          <w:highlight w:val="none"/>
          <w:lang w:val="en-US" w:eastAsia="zh-CN"/>
        </w:rPr>
        <w:t>），明确</w:t>
      </w:r>
      <w:r>
        <w:rPr>
          <w:rFonts w:hint="eastAsia" w:cs="仿宋_GB2312"/>
          <w:color w:val="auto"/>
          <w:highlight w:val="none"/>
          <w:lang w:val="en-US" w:eastAsia="zh-CN"/>
        </w:rPr>
        <w:t>EDA工具软件、IP研发、MPW流片、工程流片、自主设计芯片、自主关键设备和材料、公共服务平台、企业上规模等8项条款的申报条件、奖补标准、申报材料等要求。</w:t>
      </w:r>
    </w:p>
    <w:p>
      <w:pPr>
        <w:numPr>
          <w:ilvl w:val="0"/>
          <w:numId w:val="0"/>
        </w:numPr>
        <w:spacing w:line="600" w:lineRule="exact"/>
        <w:ind w:firstLine="643" w:firstLineChars="200"/>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b/>
          <w:bCs/>
          <w:color w:val="auto"/>
          <w:kern w:val="2"/>
          <w:sz w:val="32"/>
          <w:szCs w:val="40"/>
          <w:highlight w:val="none"/>
          <w:lang w:val="en-US" w:eastAsia="zh-CN" w:bidi="ar-SA"/>
        </w:rPr>
        <w:t>2.</w:t>
      </w:r>
      <w:r>
        <w:rPr>
          <w:rFonts w:hint="eastAsia" w:cs="仿宋_GB2312"/>
          <w:b/>
          <w:bCs/>
          <w:color w:val="auto"/>
          <w:sz w:val="32"/>
          <w:szCs w:val="40"/>
          <w:highlight w:val="none"/>
          <w:lang w:eastAsia="zh-CN"/>
        </w:rPr>
        <w:t>政策</w:t>
      </w:r>
      <w:r>
        <w:rPr>
          <w:rFonts w:hint="eastAsia" w:ascii="仿宋_GB2312" w:hAnsi="仿宋_GB2312" w:eastAsia="仿宋_GB2312" w:cs="仿宋_GB2312"/>
          <w:b/>
          <w:bCs/>
          <w:color w:val="auto"/>
          <w:sz w:val="32"/>
          <w:szCs w:val="40"/>
          <w:highlight w:val="none"/>
        </w:rPr>
        <w:t>主要内容</w:t>
      </w:r>
    </w:p>
    <w:p>
      <w:pPr>
        <w:keepNext w:val="0"/>
        <w:keepLines w:val="0"/>
        <w:pageBreakBefore w:val="0"/>
        <w:widowControl/>
        <w:suppressLineNumbers w:val="0"/>
        <w:shd w:val="clear"/>
        <w:kinsoku/>
        <w:wordWrap/>
        <w:overflowPunct/>
        <w:topLinePunct w:val="0"/>
        <w:autoSpaceDN/>
        <w:bidi w:val="0"/>
        <w:adjustRightInd/>
        <w:snapToGrid/>
        <w:jc w:val="both"/>
        <w:textAlignment w:val="auto"/>
        <w:rPr>
          <w:rFonts w:hint="default" w:ascii="仿宋_GB2312" w:eastAsia="仿宋_GB2312" w:cs="Times New Roman" w:hAnsiTheme="minorHAnsi"/>
          <w:b w:val="0"/>
          <w:bCs w:val="0"/>
          <w:color w:val="auto"/>
          <w:kern w:val="2"/>
          <w:sz w:val="32"/>
          <w:szCs w:val="22"/>
          <w:highlight w:val="none"/>
          <w:lang w:val="en-US" w:eastAsia="zh-CN" w:bidi="ar-SA"/>
        </w:rPr>
      </w:pPr>
      <w:r>
        <w:rPr>
          <w:rFonts w:hint="eastAsia" w:cs="Times New Roman" w:hAnsiTheme="minorHAnsi"/>
          <w:b w:val="0"/>
          <w:bCs w:val="0"/>
          <w:color w:val="auto"/>
          <w:kern w:val="2"/>
          <w:sz w:val="32"/>
          <w:szCs w:val="22"/>
          <w:highlight w:val="none"/>
          <w:lang w:val="en-US" w:eastAsia="zh-CN" w:bidi="ar-SA"/>
        </w:rPr>
        <w:t>根据《青岛市人民政府办公厅关于印发青岛市加快集成电路产业发展若干政策措施的通知》（青政办字</w:t>
      </w:r>
      <w:r>
        <w:rPr>
          <w:rFonts w:hint="eastAsia" w:ascii="仿宋_GB2312" w:eastAsia="仿宋_GB2312" w:cs="Times New Roman" w:hAnsiTheme="minorHAnsi"/>
          <w:i w:val="0"/>
          <w:iCs w:val="0"/>
          <w:caps w:val="0"/>
          <w:color w:val="auto"/>
          <w:spacing w:val="0"/>
          <w:kern w:val="2"/>
          <w:sz w:val="32"/>
          <w:szCs w:val="22"/>
          <w:highlight w:val="none"/>
          <w:u w:val="none"/>
          <w:lang w:val="en-US" w:eastAsia="zh" w:bidi="ar-SA"/>
        </w:rPr>
        <w:t>〔20</w:t>
      </w:r>
      <w:r>
        <w:rPr>
          <w:rFonts w:hint="eastAsia" w:cs="Times New Roman" w:hAnsiTheme="minorHAnsi"/>
          <w:i w:val="0"/>
          <w:iCs w:val="0"/>
          <w:caps w:val="0"/>
          <w:color w:val="auto"/>
          <w:spacing w:val="0"/>
          <w:kern w:val="2"/>
          <w:sz w:val="32"/>
          <w:szCs w:val="22"/>
          <w:highlight w:val="none"/>
          <w:u w:val="none"/>
          <w:lang w:val="en-US" w:eastAsia="zh-CN" w:bidi="ar-SA"/>
        </w:rPr>
        <w:t>22</w:t>
      </w:r>
      <w:r>
        <w:rPr>
          <w:rFonts w:hint="eastAsia" w:ascii="仿宋_GB2312" w:eastAsia="仿宋_GB2312" w:cs="Times New Roman" w:hAnsiTheme="minorHAnsi"/>
          <w:i w:val="0"/>
          <w:iCs w:val="0"/>
          <w:caps w:val="0"/>
          <w:color w:val="auto"/>
          <w:spacing w:val="0"/>
          <w:kern w:val="2"/>
          <w:sz w:val="32"/>
          <w:szCs w:val="22"/>
          <w:highlight w:val="none"/>
          <w:u w:val="none"/>
          <w:lang w:val="en-US" w:eastAsia="zh" w:bidi="ar-SA"/>
        </w:rPr>
        <w:t>〕</w:t>
      </w:r>
      <w:r>
        <w:rPr>
          <w:rFonts w:hint="eastAsia" w:ascii="仿宋_GB2312" w:eastAsia="仿宋_GB2312" w:cs="Times New Roman" w:hAnsiTheme="minorHAnsi"/>
          <w:b w:val="0"/>
          <w:bCs w:val="0"/>
          <w:color w:val="auto"/>
          <w:kern w:val="2"/>
          <w:sz w:val="32"/>
          <w:szCs w:val="22"/>
          <w:highlight w:val="none"/>
          <w:lang w:val="en-US" w:eastAsia="zh-CN" w:bidi="ar-SA"/>
        </w:rPr>
        <w:t>26</w:t>
      </w:r>
      <w:r>
        <w:rPr>
          <w:rFonts w:hint="eastAsia" w:cs="Times New Roman" w:hAnsiTheme="minorHAnsi"/>
          <w:b w:val="0"/>
          <w:bCs w:val="0"/>
          <w:color w:val="auto"/>
          <w:kern w:val="2"/>
          <w:sz w:val="32"/>
          <w:szCs w:val="22"/>
          <w:highlight w:val="none"/>
          <w:lang w:val="en-US" w:eastAsia="zh-CN" w:bidi="ar-SA"/>
        </w:rPr>
        <w:t>号）和《实施细则》，支持集成电路产业发展资金有关政策内容如表1所示。</w:t>
      </w:r>
    </w:p>
    <w:p>
      <w:pPr>
        <w:pStyle w:val="6"/>
        <w:rPr>
          <w:rFonts w:hint="eastAsia" w:eastAsia="宋体"/>
          <w:color w:val="auto"/>
          <w:highlight w:val="none"/>
          <w:lang w:eastAsia="zh-CN"/>
        </w:rPr>
      </w:pPr>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eastAsia="zh-CN"/>
        </w:rPr>
        <w:t xml:space="preserve"> 支持集成电路产业发展资金有关政策内容汇总表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282"/>
        <w:gridCol w:w="1474"/>
        <w:gridCol w:w="4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blHeader/>
          <w:jc w:val="center"/>
        </w:trPr>
        <w:tc>
          <w:tcPr>
            <w:tcW w:w="793" w:type="dxa"/>
            <w:shd w:val="clear" w:color="auto" w:fill="auto"/>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序号</w:t>
            </w:r>
          </w:p>
        </w:tc>
        <w:tc>
          <w:tcPr>
            <w:tcW w:w="1282" w:type="dxa"/>
            <w:shd w:val="clear" w:color="auto" w:fill="auto"/>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政策措施</w:t>
            </w:r>
          </w:p>
        </w:tc>
        <w:tc>
          <w:tcPr>
            <w:tcW w:w="1474" w:type="dxa"/>
            <w:shd w:val="clear" w:color="auto" w:fill="auto"/>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政策标题</w:t>
            </w:r>
          </w:p>
        </w:tc>
        <w:tc>
          <w:tcPr>
            <w:tcW w:w="4973" w:type="dxa"/>
            <w:shd w:val="clear" w:color="auto" w:fill="auto"/>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奖补内容概要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1</w:t>
            </w:r>
          </w:p>
        </w:tc>
        <w:tc>
          <w:tcPr>
            <w:tcW w:w="1282" w:type="dxa"/>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Style w:val="22"/>
                <w:rFonts w:hint="eastAsia" w:ascii="宋体" w:hAnsi="宋体" w:eastAsia="宋体" w:cs="宋体"/>
                <w:b w:val="0"/>
                <w:bCs w:val="0"/>
                <w:i w:val="0"/>
                <w:iCs w:val="0"/>
                <w:caps w:val="0"/>
                <w:color w:val="auto"/>
                <w:spacing w:val="0"/>
                <w:sz w:val="24"/>
                <w:szCs w:val="24"/>
                <w:highlight w:val="none"/>
                <w:shd w:val="clear" w:fill="FFFFFF"/>
              </w:rPr>
              <w:t>支持购买设计工具</w:t>
            </w:r>
          </w:p>
        </w:tc>
        <w:tc>
          <w:tcPr>
            <w:tcW w:w="1474"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设计企业购买EDA工具</w:t>
            </w: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对集成电路设计企业购买电子设计自动化（EDA）工具软件的，按照实际支出费用的30%，给予年度最高200万元补贴。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93" w:type="dxa"/>
            <w:vAlign w:val="center"/>
          </w:tcPr>
          <w:p>
            <w:pPr>
              <w:pStyle w:val="8"/>
              <w:keepNext/>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2</w:t>
            </w:r>
          </w:p>
        </w:tc>
        <w:tc>
          <w:tcPr>
            <w:tcW w:w="1282" w:type="dxa"/>
            <w:vMerge w:val="continue"/>
            <w:vAlign w:val="center"/>
          </w:tcPr>
          <w:p>
            <w:pPr>
              <w:pStyle w:val="8"/>
              <w:keepNext/>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p>
        </w:tc>
        <w:tc>
          <w:tcPr>
            <w:tcW w:w="1474" w:type="dxa"/>
            <w:vAlign w:val="center"/>
          </w:tcPr>
          <w:p>
            <w:pPr>
              <w:pStyle w:val="8"/>
              <w:keepNext/>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IP补贴</w:t>
            </w:r>
          </w:p>
        </w:tc>
        <w:tc>
          <w:tcPr>
            <w:tcW w:w="4973" w:type="dxa"/>
            <w:vAlign w:val="center"/>
          </w:tcPr>
          <w:p>
            <w:pPr>
              <w:pStyle w:val="8"/>
              <w:keepNext/>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对企业购买非关联企业知识产权（IP）开展高端芯片或特色工艺芯片研发的，按照购买IP实际支出费用的50%，给予年度最高200万元补贴。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3</w:t>
            </w:r>
          </w:p>
        </w:tc>
        <w:tc>
          <w:tcPr>
            <w:tcW w:w="1282" w:type="dxa"/>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Style w:val="22"/>
                <w:rFonts w:hint="eastAsia" w:ascii="宋体" w:hAnsi="宋体" w:eastAsia="宋体" w:cs="宋体"/>
                <w:b w:val="0"/>
                <w:bCs w:val="0"/>
                <w:i w:val="0"/>
                <w:iCs w:val="0"/>
                <w:caps w:val="0"/>
                <w:color w:val="auto"/>
                <w:spacing w:val="0"/>
                <w:sz w:val="24"/>
                <w:szCs w:val="24"/>
                <w:highlight w:val="none"/>
                <w:shd w:val="clear" w:fill="FFFFFF"/>
              </w:rPr>
              <w:t>支持产品研发流片</w:t>
            </w:r>
          </w:p>
        </w:tc>
        <w:tc>
          <w:tcPr>
            <w:tcW w:w="1474" w:type="dxa"/>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设计企业流片补贴</w:t>
            </w: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对使用多项目晶圆（MPW）流片的设计企业，按照不超过其MPW流片直接费用的70%，给予年度最高300万元补贴</w:t>
            </w:r>
            <w:r>
              <w:rPr>
                <w:rFonts w:hint="eastAsia" w:ascii="宋体" w:hAnsi="宋体" w:eastAsia="宋体" w:cs="宋体"/>
                <w:b w:val="0"/>
                <w:bCs w:val="0"/>
                <w:i w:val="0"/>
                <w:iCs w:val="0"/>
                <w:caps w:val="0"/>
                <w:color w:val="auto"/>
                <w:spacing w:val="5"/>
                <w:sz w:val="24"/>
                <w:szCs w:val="24"/>
                <w:highlight w:val="none"/>
                <w:shd w:val="clear"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4</w:t>
            </w:r>
          </w:p>
        </w:tc>
        <w:tc>
          <w:tcPr>
            <w:tcW w:w="1282" w:type="dxa"/>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p>
        </w:tc>
        <w:tc>
          <w:tcPr>
            <w:tcW w:w="1474" w:type="dxa"/>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对完成全掩膜（Full Mask）工程产品首轮流片的设计企业，按照不超过其首轮流片费用的50%，给予年度最高500万元补贴。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5</w:t>
            </w:r>
          </w:p>
        </w:tc>
        <w:tc>
          <w:tcPr>
            <w:tcW w:w="1282" w:type="dxa"/>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Style w:val="22"/>
                <w:rFonts w:hint="eastAsia" w:ascii="宋体" w:hAnsi="宋体" w:eastAsia="宋体" w:cs="宋体"/>
                <w:b w:val="0"/>
                <w:bCs w:val="0"/>
                <w:i w:val="0"/>
                <w:iCs w:val="0"/>
                <w:caps w:val="0"/>
                <w:color w:val="auto"/>
                <w:spacing w:val="0"/>
                <w:sz w:val="24"/>
                <w:szCs w:val="24"/>
                <w:highlight w:val="none"/>
                <w:shd w:val="clear" w:fill="FFFFFF"/>
              </w:rPr>
              <w:t>鼓励产品推广应用</w:t>
            </w:r>
          </w:p>
        </w:tc>
        <w:tc>
          <w:tcPr>
            <w:tcW w:w="1474" w:type="dxa"/>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集成电路芯片、关键核心设备和材料销售补贴</w:t>
            </w: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lang w:val="en-US" w:eastAsia="zh-CN"/>
              </w:rPr>
              <w:t>青岛</w:t>
            </w:r>
            <w:r>
              <w:rPr>
                <w:rFonts w:hint="eastAsia" w:ascii="宋体" w:hAnsi="宋体" w:eastAsia="宋体" w:cs="宋体"/>
                <w:b w:val="0"/>
                <w:bCs w:val="0"/>
                <w:i w:val="0"/>
                <w:iCs w:val="0"/>
                <w:caps w:val="0"/>
                <w:color w:val="auto"/>
                <w:spacing w:val="5"/>
                <w:sz w:val="24"/>
                <w:szCs w:val="24"/>
                <w:highlight w:val="none"/>
                <w:shd w:val="clear" w:fill="FFFFFF"/>
              </w:rPr>
              <w:t>市企业销售自主研发设计的芯片，且单款芯片产品年度销售额超过500万元的，按照不超过其年度销售额的10%给予奖励，单个企业年度奖励总额最高300万元。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6</w:t>
            </w:r>
          </w:p>
        </w:tc>
        <w:tc>
          <w:tcPr>
            <w:tcW w:w="1282" w:type="dxa"/>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Style w:val="22"/>
                <w:rFonts w:hint="eastAsia" w:ascii="宋体" w:hAnsi="宋体" w:eastAsia="宋体" w:cs="宋体"/>
                <w:b w:val="0"/>
                <w:bCs w:val="0"/>
                <w:i w:val="0"/>
                <w:iCs w:val="0"/>
                <w:caps w:val="0"/>
                <w:color w:val="auto"/>
                <w:spacing w:val="0"/>
                <w:sz w:val="24"/>
                <w:szCs w:val="24"/>
                <w:highlight w:val="none"/>
                <w:shd w:val="clear" w:fill="FFFFFF"/>
              </w:rPr>
            </w:pPr>
          </w:p>
        </w:tc>
        <w:tc>
          <w:tcPr>
            <w:tcW w:w="1474" w:type="dxa"/>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lang w:val="en-US" w:eastAsia="zh-CN"/>
              </w:rPr>
              <w:t>青岛</w:t>
            </w:r>
            <w:r>
              <w:rPr>
                <w:rFonts w:hint="eastAsia" w:ascii="宋体" w:hAnsi="宋体" w:eastAsia="宋体" w:cs="宋体"/>
                <w:b w:val="0"/>
                <w:bCs w:val="0"/>
                <w:i w:val="0"/>
                <w:iCs w:val="0"/>
                <w:caps w:val="0"/>
                <w:color w:val="auto"/>
                <w:spacing w:val="5"/>
                <w:sz w:val="24"/>
                <w:szCs w:val="24"/>
                <w:highlight w:val="none"/>
                <w:shd w:val="clear" w:fill="FFFFFF"/>
              </w:rPr>
              <w:t>市企业销售自主研发生产的集成电路关键核心设备和材料，且年度销售额超过100万元的，按照不超过其年度销售额的10%，给予最高200万元的补贴。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7</w:t>
            </w:r>
          </w:p>
        </w:tc>
        <w:tc>
          <w:tcPr>
            <w:tcW w:w="1282"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Style w:val="22"/>
                <w:rFonts w:hint="eastAsia" w:ascii="宋体" w:hAnsi="宋体" w:eastAsia="宋体" w:cs="宋体"/>
                <w:b w:val="0"/>
                <w:bCs w:val="0"/>
                <w:i w:val="0"/>
                <w:iCs w:val="0"/>
                <w:caps w:val="0"/>
                <w:color w:val="auto"/>
                <w:spacing w:val="0"/>
                <w:sz w:val="24"/>
                <w:szCs w:val="24"/>
                <w:highlight w:val="none"/>
                <w:shd w:val="clear" w:fill="FFFFFF"/>
              </w:rPr>
            </w:pPr>
            <w:r>
              <w:rPr>
                <w:rStyle w:val="22"/>
                <w:rFonts w:hint="eastAsia" w:ascii="宋体" w:hAnsi="宋体" w:eastAsia="宋体" w:cs="宋体"/>
                <w:b w:val="0"/>
                <w:bCs w:val="0"/>
                <w:i w:val="0"/>
                <w:iCs w:val="0"/>
                <w:caps w:val="0"/>
                <w:color w:val="auto"/>
                <w:spacing w:val="5"/>
                <w:sz w:val="24"/>
                <w:szCs w:val="24"/>
                <w:highlight w:val="none"/>
                <w:u w:val="none"/>
              </w:rPr>
              <w:t>支持建设公共服务平台</w:t>
            </w:r>
          </w:p>
        </w:tc>
        <w:tc>
          <w:tcPr>
            <w:tcW w:w="1474"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公共服务平台奖补</w:t>
            </w: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对第三方服务平台为本地集成电路企业提供EDA工具和IP核、先进工艺流片、先进封装、芯片及设备、材料测试验证等用于研发支撑服务，且年度服务合同实际完成额超过100万元的，按照不超过其年度服务合同实际完成额的20%，给予最高200万元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4" w:hRule="atLeast"/>
          <w:jc w:val="center"/>
        </w:trPr>
        <w:tc>
          <w:tcPr>
            <w:tcW w:w="79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color w:val="auto"/>
                <w:sz w:val="24"/>
                <w:szCs w:val="24"/>
                <w:highlight w:val="none"/>
                <w:vertAlign w:val="baseline"/>
                <w:lang w:val="en-US" w:eastAsia="zh-CN"/>
              </w:rPr>
              <w:t>8</w:t>
            </w:r>
          </w:p>
        </w:tc>
        <w:tc>
          <w:tcPr>
            <w:tcW w:w="1282"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Style w:val="22"/>
                <w:rFonts w:hint="eastAsia" w:ascii="宋体" w:hAnsi="宋体" w:eastAsia="宋体" w:cs="宋体"/>
                <w:b w:val="0"/>
                <w:bCs w:val="0"/>
                <w:i w:val="0"/>
                <w:iCs w:val="0"/>
                <w:caps w:val="0"/>
                <w:color w:val="auto"/>
                <w:spacing w:val="5"/>
                <w:sz w:val="24"/>
                <w:szCs w:val="24"/>
                <w:highlight w:val="none"/>
                <w:u w:val="none"/>
              </w:rPr>
            </w:pPr>
            <w:r>
              <w:rPr>
                <w:rStyle w:val="22"/>
                <w:rFonts w:hint="eastAsia" w:ascii="宋体" w:hAnsi="宋体" w:eastAsia="宋体" w:cs="宋体"/>
                <w:b w:val="0"/>
                <w:bCs w:val="0"/>
                <w:i w:val="0"/>
                <w:iCs w:val="0"/>
                <w:caps w:val="0"/>
                <w:color w:val="auto"/>
                <w:spacing w:val="5"/>
                <w:sz w:val="24"/>
                <w:szCs w:val="24"/>
                <w:highlight w:val="none"/>
                <w:u w:val="none"/>
              </w:rPr>
              <w:t>支持企业规模化发展</w:t>
            </w:r>
          </w:p>
        </w:tc>
        <w:tc>
          <w:tcPr>
            <w:tcW w:w="1474"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集成电路企业营收上规模奖励</w:t>
            </w:r>
          </w:p>
        </w:tc>
        <w:tc>
          <w:tcPr>
            <w:tcW w:w="4973"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eastAsia="宋体" w:cs="宋体"/>
                <w:b w:val="0"/>
                <w:bCs w:val="0"/>
                <w:i w:val="0"/>
                <w:iCs w:val="0"/>
                <w:caps w:val="0"/>
                <w:color w:val="auto"/>
                <w:spacing w:val="5"/>
                <w:sz w:val="24"/>
                <w:szCs w:val="24"/>
                <w:highlight w:val="none"/>
                <w:shd w:val="clear" w:fill="FFFFFF"/>
              </w:rPr>
              <w:t>对年度营业收入首次突破1亿元、5亿元、10亿元的集成电路设计企业，分别给予不超过100万元、300万元、500万元的一次性奖励。对年度营业收入首次突破5亿元、10亿元、20亿元的集成电路制造、封测等企业，分别给予不超过100万元、300万元、500万元的一次性奖励。对年度营业收入首次突破1亿元、5亿元、10亿元的集成电路装备、材料等企业，分别给予不超过100万元、300万元、500万元的一次性奖励。同一企业若满足多项条件，按照“就高不重复、晋级补差”原则给予奖励。</w:t>
            </w:r>
          </w:p>
        </w:tc>
      </w:tr>
    </w:tbl>
    <w:p>
      <w:pPr>
        <w:spacing w:line="600" w:lineRule="exact"/>
        <w:ind w:firstLine="643" w:firstLineChars="200"/>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b/>
          <w:bCs/>
          <w:color w:val="auto"/>
          <w:sz w:val="32"/>
          <w:szCs w:val="40"/>
          <w:highlight w:val="none"/>
        </w:rPr>
        <w:t>3.</w:t>
      </w:r>
      <w:r>
        <w:rPr>
          <w:rFonts w:hint="eastAsia" w:cs="仿宋_GB2312"/>
          <w:b/>
          <w:bCs/>
          <w:color w:val="auto"/>
          <w:sz w:val="32"/>
          <w:szCs w:val="40"/>
          <w:highlight w:val="none"/>
          <w:lang w:eastAsia="zh-CN"/>
        </w:rPr>
        <w:t>政策</w:t>
      </w:r>
      <w:r>
        <w:rPr>
          <w:rFonts w:hint="eastAsia" w:ascii="仿宋_GB2312" w:hAnsi="仿宋_GB2312" w:eastAsia="仿宋_GB2312" w:cs="仿宋_GB2312"/>
          <w:b/>
          <w:bCs/>
          <w:color w:val="auto"/>
          <w:sz w:val="32"/>
          <w:szCs w:val="40"/>
          <w:highlight w:val="none"/>
        </w:rPr>
        <w:t>实施情况</w:t>
      </w:r>
    </w:p>
    <w:p>
      <w:pPr>
        <w:spacing w:line="600" w:lineRule="exact"/>
        <w:ind w:firstLine="640" w:firstLineChars="200"/>
        <w:rPr>
          <w:rFonts w:hint="default" w:eastAsia="仿宋_GB2312" w:cs="仿宋_GB2312"/>
          <w:color w:val="auto"/>
          <w:szCs w:val="40"/>
          <w:highlight w:val="none"/>
          <w:lang w:val="en-US" w:eastAsia="zh-CN"/>
        </w:rPr>
      </w:pPr>
      <w:r>
        <w:rPr>
          <w:rFonts w:hint="eastAsia" w:cs="仿宋_GB2312"/>
          <w:color w:val="auto"/>
          <w:szCs w:val="40"/>
          <w:highlight w:val="none"/>
          <w:lang w:eastAsia="zh-CN"/>
        </w:rPr>
        <w:t>（</w:t>
      </w:r>
      <w:r>
        <w:rPr>
          <w:rFonts w:hint="eastAsia" w:cs="仿宋_GB2312"/>
          <w:color w:val="auto"/>
          <w:szCs w:val="40"/>
          <w:highlight w:val="none"/>
          <w:lang w:val="en-US" w:eastAsia="zh-CN"/>
        </w:rPr>
        <w:t>1</w:t>
      </w:r>
      <w:r>
        <w:rPr>
          <w:rFonts w:hint="eastAsia" w:cs="仿宋_GB2312"/>
          <w:color w:val="auto"/>
          <w:szCs w:val="40"/>
          <w:highlight w:val="none"/>
          <w:lang w:eastAsia="zh-CN"/>
        </w:rPr>
        <w:t>）</w:t>
      </w:r>
      <w:r>
        <w:rPr>
          <w:rFonts w:hint="eastAsia" w:cs="仿宋_GB2312"/>
          <w:color w:val="auto"/>
          <w:szCs w:val="40"/>
          <w:highlight w:val="none"/>
          <w:lang w:val="en-US" w:eastAsia="zh-CN"/>
        </w:rPr>
        <w:t>职责分工</w:t>
      </w:r>
    </w:p>
    <w:p>
      <w:pPr>
        <w:spacing w:line="600" w:lineRule="exact"/>
        <w:ind w:firstLine="640" w:firstLineChars="200"/>
        <w:rPr>
          <w:rFonts w:hint="eastAsia" w:cs="仿宋_GB2312"/>
          <w:color w:val="auto"/>
          <w:szCs w:val="40"/>
          <w:highlight w:val="none"/>
        </w:rPr>
      </w:pPr>
      <w:r>
        <w:rPr>
          <w:rFonts w:hint="eastAsia" w:cs="仿宋_GB2312"/>
          <w:color w:val="auto"/>
          <w:szCs w:val="40"/>
          <w:highlight w:val="none"/>
        </w:rPr>
        <w:t>奖励政策主要涉及工业和信息化、财政部门及申报主体，各自承担主要职责如下：</w:t>
      </w:r>
    </w:p>
    <w:p>
      <w:pPr>
        <w:spacing w:line="600" w:lineRule="exact"/>
        <w:ind w:firstLine="640" w:firstLineChars="200"/>
        <w:rPr>
          <w:rFonts w:hint="eastAsia" w:cs="仿宋_GB2312"/>
          <w:color w:val="auto"/>
          <w:szCs w:val="40"/>
          <w:highlight w:val="none"/>
        </w:rPr>
      </w:pPr>
      <w:r>
        <w:rPr>
          <w:rFonts w:hint="eastAsia" w:cs="仿宋_GB2312"/>
          <w:color w:val="auto"/>
          <w:szCs w:val="40"/>
          <w:highlight w:val="none"/>
          <w:lang w:val="en-US" w:eastAsia="zh-CN"/>
        </w:rPr>
        <w:t>①</w:t>
      </w:r>
      <w:r>
        <w:rPr>
          <w:rFonts w:hint="eastAsia" w:cs="仿宋_GB2312"/>
          <w:color w:val="auto"/>
          <w:szCs w:val="40"/>
          <w:highlight w:val="none"/>
        </w:rPr>
        <w:t>工业和信息化部门：</w:t>
      </w:r>
      <w:r>
        <w:rPr>
          <w:rFonts w:hint="eastAsia" w:cs="仿宋_GB2312"/>
          <w:color w:val="auto"/>
          <w:szCs w:val="40"/>
          <w:highlight w:val="none"/>
          <w:lang w:eastAsia="zh-CN"/>
        </w:rPr>
        <w:t>青岛市</w:t>
      </w:r>
      <w:r>
        <w:rPr>
          <w:rFonts w:hint="eastAsia" w:cs="仿宋_GB2312"/>
          <w:color w:val="auto"/>
          <w:szCs w:val="40"/>
          <w:highlight w:val="none"/>
        </w:rPr>
        <w:t>工业和信息化局</w:t>
      </w:r>
      <w:r>
        <w:rPr>
          <w:rFonts w:hint="eastAsia" w:ascii="仿宋_GB2312" w:hAnsi="仿宋_GB2312" w:eastAsia="仿宋_GB2312" w:cs="仿宋_GB2312"/>
          <w:snapToGrid w:val="0"/>
          <w:color w:val="auto"/>
          <w:spacing w:val="0"/>
          <w:kern w:val="0"/>
          <w:position w:val="0"/>
          <w:sz w:val="32"/>
          <w:szCs w:val="32"/>
          <w:highlight w:val="none"/>
          <w:lang w:val="en-US" w:eastAsia="zh-CN" w:bidi="ar-SA"/>
        </w:rPr>
        <w:t>（以下简称“</w:t>
      </w:r>
      <w:r>
        <w:rPr>
          <w:rFonts w:hint="eastAsia" w:cs="Times New Roman" w:hAnsiTheme="minorHAnsi"/>
          <w:color w:val="auto"/>
          <w:szCs w:val="22"/>
          <w:highlight w:val="none"/>
          <w:lang w:val="en-US" w:eastAsia="zh-CN"/>
        </w:rPr>
        <w:t>市工业和信息化局</w:t>
      </w:r>
      <w:r>
        <w:rPr>
          <w:rFonts w:hint="eastAsia" w:ascii="仿宋_GB2312" w:hAnsi="仿宋_GB2312" w:eastAsia="仿宋_GB2312" w:cs="仿宋_GB2312"/>
          <w:snapToGrid w:val="0"/>
          <w:color w:val="auto"/>
          <w:spacing w:val="0"/>
          <w:kern w:val="0"/>
          <w:position w:val="0"/>
          <w:sz w:val="32"/>
          <w:szCs w:val="32"/>
          <w:highlight w:val="none"/>
          <w:lang w:val="en-US" w:eastAsia="zh-CN" w:bidi="ar-SA"/>
        </w:rPr>
        <w:t>”）</w:t>
      </w:r>
      <w:r>
        <w:rPr>
          <w:rFonts w:hint="eastAsia" w:cs="仿宋_GB2312"/>
          <w:color w:val="auto"/>
          <w:szCs w:val="40"/>
          <w:highlight w:val="none"/>
        </w:rPr>
        <w:t>负责发布申报指南、组织项目申报和材料审核、办理资金信息公开、编制年度资金预算和支出计划、按要求开展绩效评价相关工作；</w:t>
      </w:r>
      <w:r>
        <w:rPr>
          <w:rFonts w:hint="eastAsia" w:cs="仿宋_GB2312"/>
          <w:color w:val="auto"/>
          <w:szCs w:val="40"/>
          <w:highlight w:val="none"/>
          <w:lang w:eastAsia="zh-CN"/>
        </w:rPr>
        <w:t>区</w:t>
      </w:r>
      <w:r>
        <w:rPr>
          <w:rFonts w:hint="eastAsia" w:cs="仿宋_GB2312"/>
          <w:color w:val="auto"/>
          <w:szCs w:val="40"/>
          <w:highlight w:val="none"/>
        </w:rPr>
        <w:t>工业和信息化主管部门负责本辖区政策申报组织、初审、推荐和绩效评价，配合</w:t>
      </w:r>
      <w:r>
        <w:rPr>
          <w:rFonts w:hint="eastAsia" w:cs="仿宋_GB2312"/>
          <w:color w:val="auto"/>
          <w:szCs w:val="40"/>
          <w:highlight w:val="none"/>
          <w:lang w:eastAsia="zh-CN"/>
        </w:rPr>
        <w:t>区</w:t>
      </w:r>
      <w:r>
        <w:rPr>
          <w:rFonts w:hint="eastAsia" w:cs="仿宋_GB2312"/>
          <w:color w:val="auto"/>
          <w:szCs w:val="40"/>
          <w:highlight w:val="none"/>
        </w:rPr>
        <w:t>财政部门拨付资金。</w:t>
      </w:r>
    </w:p>
    <w:p>
      <w:pPr>
        <w:spacing w:line="600" w:lineRule="exact"/>
        <w:ind w:firstLine="640" w:firstLineChars="200"/>
        <w:rPr>
          <w:rFonts w:hint="eastAsia" w:eastAsia="仿宋_GB2312" w:cs="仿宋_GB2312"/>
          <w:color w:val="auto"/>
          <w:szCs w:val="40"/>
          <w:highlight w:val="none"/>
          <w:lang w:val="en-US" w:eastAsia="zh-CN"/>
        </w:rPr>
      </w:pPr>
      <w:r>
        <w:rPr>
          <w:rFonts w:hint="eastAsia" w:cs="仿宋_GB2312"/>
          <w:color w:val="auto"/>
          <w:szCs w:val="40"/>
          <w:highlight w:val="none"/>
          <w:lang w:val="en-US" w:eastAsia="zh-CN"/>
        </w:rPr>
        <w:t>②市工业互联网创新发展中心：青岛市工业互联网创新发展中心</w:t>
      </w:r>
      <w:r>
        <w:rPr>
          <w:rFonts w:hint="eastAsia" w:ascii="仿宋_GB2312" w:hAnsi="仿宋_GB2312" w:eastAsia="仿宋_GB2312" w:cs="仿宋_GB2312"/>
          <w:snapToGrid w:val="0"/>
          <w:color w:val="auto"/>
          <w:spacing w:val="0"/>
          <w:kern w:val="0"/>
          <w:position w:val="0"/>
          <w:sz w:val="32"/>
          <w:szCs w:val="32"/>
          <w:highlight w:val="none"/>
          <w:lang w:val="en-US" w:eastAsia="zh-CN" w:bidi="ar-SA"/>
        </w:rPr>
        <w:t>（以下简称“</w:t>
      </w:r>
      <w:r>
        <w:rPr>
          <w:rFonts w:hint="eastAsia" w:cs="仿宋_GB2312"/>
          <w:color w:val="auto"/>
          <w:szCs w:val="40"/>
          <w:highlight w:val="none"/>
          <w:lang w:val="en-US" w:eastAsia="zh-CN"/>
        </w:rPr>
        <w:t>市工业互联网创新发展中心</w:t>
      </w:r>
      <w:r>
        <w:rPr>
          <w:rFonts w:hint="eastAsia" w:ascii="仿宋_GB2312" w:hAnsi="仿宋_GB2312" w:eastAsia="仿宋_GB2312" w:cs="仿宋_GB2312"/>
          <w:snapToGrid w:val="0"/>
          <w:color w:val="auto"/>
          <w:spacing w:val="0"/>
          <w:kern w:val="0"/>
          <w:position w:val="0"/>
          <w:sz w:val="32"/>
          <w:szCs w:val="32"/>
          <w:highlight w:val="none"/>
          <w:lang w:val="en-US" w:eastAsia="zh-CN" w:bidi="ar-SA"/>
        </w:rPr>
        <w:t>”）</w:t>
      </w:r>
      <w:r>
        <w:rPr>
          <w:rFonts w:hint="eastAsia" w:cs="仿宋_GB2312"/>
          <w:color w:val="auto"/>
          <w:szCs w:val="40"/>
          <w:highlight w:val="none"/>
          <w:lang w:val="en-US" w:eastAsia="zh-CN"/>
        </w:rPr>
        <w:t>负责汇总各区报送的项目申报材料，并进行完整性审核，同步通过青岛政策通平台完成线上审核，推荐至市工业和信息化局电子信息产业处。</w:t>
      </w:r>
    </w:p>
    <w:p>
      <w:pPr>
        <w:spacing w:line="600" w:lineRule="exact"/>
        <w:ind w:firstLine="640" w:firstLineChars="200"/>
        <w:rPr>
          <w:rFonts w:hint="eastAsia" w:cs="仿宋_GB2312"/>
          <w:color w:val="auto"/>
          <w:szCs w:val="40"/>
          <w:highlight w:val="none"/>
        </w:rPr>
      </w:pPr>
      <w:r>
        <w:rPr>
          <w:rFonts w:hint="eastAsia" w:cs="仿宋_GB2312"/>
          <w:color w:val="auto"/>
          <w:szCs w:val="40"/>
          <w:highlight w:val="none"/>
          <w:lang w:val="en-US" w:eastAsia="zh-CN"/>
        </w:rPr>
        <w:t>③</w:t>
      </w:r>
      <w:r>
        <w:rPr>
          <w:rFonts w:hint="eastAsia" w:cs="仿宋_GB2312"/>
          <w:color w:val="auto"/>
          <w:szCs w:val="40"/>
          <w:highlight w:val="none"/>
        </w:rPr>
        <w:t>财政部门：</w:t>
      </w:r>
      <w:r>
        <w:rPr>
          <w:rFonts w:hint="eastAsia" w:cs="仿宋_GB2312"/>
          <w:color w:val="auto"/>
          <w:szCs w:val="40"/>
          <w:highlight w:val="none"/>
          <w:lang w:val="en-US" w:eastAsia="zh-CN"/>
        </w:rPr>
        <w:t>青岛</w:t>
      </w:r>
      <w:r>
        <w:rPr>
          <w:rFonts w:hint="eastAsia" w:cs="仿宋_GB2312"/>
          <w:color w:val="auto"/>
          <w:szCs w:val="40"/>
          <w:highlight w:val="none"/>
        </w:rPr>
        <w:t>市财政局</w:t>
      </w:r>
      <w:r>
        <w:rPr>
          <w:rFonts w:hint="eastAsia" w:ascii="仿宋_GB2312" w:hAnsi="仿宋_GB2312" w:eastAsia="仿宋_GB2312" w:cs="仿宋_GB2312"/>
          <w:snapToGrid w:val="0"/>
          <w:color w:val="auto"/>
          <w:spacing w:val="0"/>
          <w:kern w:val="0"/>
          <w:position w:val="0"/>
          <w:sz w:val="32"/>
          <w:szCs w:val="32"/>
          <w:highlight w:val="none"/>
          <w:lang w:val="en-US" w:eastAsia="zh-CN" w:bidi="ar-SA"/>
        </w:rPr>
        <w:t>（以下简称“</w:t>
      </w:r>
      <w:r>
        <w:rPr>
          <w:rFonts w:hint="eastAsia" w:cs="仿宋_GB2312"/>
          <w:color w:val="auto"/>
          <w:szCs w:val="40"/>
          <w:highlight w:val="none"/>
          <w:lang w:val="en-US" w:eastAsia="zh-CN"/>
        </w:rPr>
        <w:t>市财政局</w:t>
      </w:r>
      <w:r>
        <w:rPr>
          <w:rFonts w:hint="eastAsia" w:ascii="仿宋_GB2312" w:hAnsi="仿宋_GB2312" w:eastAsia="仿宋_GB2312" w:cs="仿宋_GB2312"/>
          <w:snapToGrid w:val="0"/>
          <w:color w:val="auto"/>
          <w:spacing w:val="0"/>
          <w:kern w:val="0"/>
          <w:position w:val="0"/>
          <w:sz w:val="32"/>
          <w:szCs w:val="32"/>
          <w:highlight w:val="none"/>
          <w:lang w:val="en-US" w:eastAsia="zh-CN" w:bidi="ar-SA"/>
        </w:rPr>
        <w:t>”）</w:t>
      </w:r>
      <w:r>
        <w:rPr>
          <w:rFonts w:hint="eastAsia" w:cs="仿宋_GB2312"/>
          <w:color w:val="auto"/>
          <w:szCs w:val="40"/>
          <w:highlight w:val="none"/>
        </w:rPr>
        <w:t>负责资金预算安排、资金下达；</w:t>
      </w:r>
      <w:r>
        <w:rPr>
          <w:rFonts w:hint="eastAsia" w:cs="仿宋_GB2312"/>
          <w:color w:val="auto"/>
          <w:szCs w:val="40"/>
          <w:highlight w:val="none"/>
          <w:lang w:eastAsia="zh-CN"/>
        </w:rPr>
        <w:t>区</w:t>
      </w:r>
      <w:r>
        <w:rPr>
          <w:rFonts w:hint="eastAsia" w:cs="仿宋_GB2312"/>
          <w:color w:val="auto"/>
          <w:szCs w:val="40"/>
          <w:highlight w:val="none"/>
        </w:rPr>
        <w:t>财政部门根据市财政局下达的资金计划及时拨付资金。</w:t>
      </w:r>
    </w:p>
    <w:p>
      <w:pPr>
        <w:spacing w:line="600" w:lineRule="exact"/>
        <w:ind w:firstLine="640" w:firstLineChars="200"/>
        <w:rPr>
          <w:rFonts w:hint="eastAsia" w:cs="仿宋_GB2312"/>
          <w:color w:val="auto"/>
          <w:szCs w:val="40"/>
          <w:highlight w:val="none"/>
        </w:rPr>
      </w:pPr>
      <w:r>
        <w:rPr>
          <w:rFonts w:hint="eastAsia" w:cs="仿宋_GB2312"/>
          <w:color w:val="auto"/>
          <w:szCs w:val="40"/>
          <w:highlight w:val="none"/>
          <w:lang w:val="en-US" w:eastAsia="zh-CN"/>
        </w:rPr>
        <w:t>④</w:t>
      </w:r>
      <w:r>
        <w:rPr>
          <w:rFonts w:hint="eastAsia" w:cs="仿宋_GB2312"/>
          <w:color w:val="auto"/>
          <w:szCs w:val="40"/>
          <w:highlight w:val="none"/>
        </w:rPr>
        <w:t>申报主体：按要求进行项目申报，及时报送有关资料，对材料的真实性、准确性和完整性负责；配合做好项目审核工作，如实提供申报材料；配合开展绩效评价、监督检查工作。</w:t>
      </w:r>
    </w:p>
    <w:p>
      <w:pPr>
        <w:numPr>
          <w:ilvl w:val="0"/>
          <w:numId w:val="0"/>
        </w:numPr>
        <w:spacing w:line="600" w:lineRule="exact"/>
        <w:ind w:firstLine="640" w:firstLineChars="200"/>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kern w:val="2"/>
          <w:sz w:val="32"/>
          <w:szCs w:val="40"/>
          <w:highlight w:val="none"/>
          <w:lang w:val="en-US" w:eastAsia="zh-CN" w:bidi="ar-SA"/>
        </w:rPr>
        <w:t>（2）</w:t>
      </w:r>
      <w:r>
        <w:rPr>
          <w:rFonts w:hint="eastAsia" w:cs="仿宋_GB2312"/>
          <w:color w:val="auto"/>
          <w:kern w:val="2"/>
          <w:sz w:val="32"/>
          <w:szCs w:val="40"/>
          <w:highlight w:val="none"/>
          <w:lang w:val="en-US" w:eastAsia="zh-CN" w:bidi="ar-SA"/>
        </w:rPr>
        <w:t>政策</w:t>
      </w:r>
      <w:r>
        <w:rPr>
          <w:rFonts w:hint="eastAsia" w:cs="仿宋_GB2312"/>
          <w:color w:val="auto"/>
          <w:sz w:val="32"/>
          <w:szCs w:val="40"/>
          <w:highlight w:val="none"/>
          <w:lang w:val="en-US" w:eastAsia="zh-CN"/>
        </w:rPr>
        <w:t>申报流程</w:t>
      </w:r>
    </w:p>
    <w:p>
      <w:pPr>
        <w:widowControl/>
        <w:jc w:val="both"/>
        <w:rPr>
          <w:rFonts w:hint="eastAsia"/>
          <w:color w:val="auto"/>
          <w:highlight w:val="none"/>
        </w:rPr>
      </w:pPr>
      <w:r>
        <w:rPr>
          <w:rFonts w:hint="eastAsia" w:cs="Times New Roman" w:hAnsiTheme="minorHAnsi"/>
          <w:b w:val="0"/>
          <w:bCs w:val="0"/>
          <w:color w:val="auto"/>
          <w:kern w:val="2"/>
          <w:sz w:val="32"/>
          <w:szCs w:val="22"/>
          <w:highlight w:val="none"/>
          <w:lang w:val="en-US" w:eastAsia="zh-CN" w:bidi="ar-SA"/>
        </w:rPr>
        <w:t>依据《实施细则》的</w:t>
      </w:r>
      <w:r>
        <w:rPr>
          <w:rFonts w:hint="eastAsia" w:cs="Times New Roman" w:hAnsiTheme="minorHAnsi"/>
          <w:color w:val="auto"/>
          <w:szCs w:val="22"/>
          <w:highlight w:val="none"/>
          <w:lang w:val="en-US" w:eastAsia="zh-CN"/>
        </w:rPr>
        <w:t>要求，该政策申报流程为指南发布→企业自主申报→</w:t>
      </w:r>
      <w:r>
        <w:rPr>
          <w:rFonts w:hint="eastAsia" w:cs="Times New Roman" w:hAnsiTheme="minorHAnsi"/>
          <w:color w:val="auto"/>
          <w:kern w:val="2"/>
          <w:sz w:val="32"/>
          <w:szCs w:val="22"/>
          <w:highlight w:val="none"/>
          <w:lang w:val="en-US" w:eastAsia="zh-CN" w:bidi="ar-SA"/>
        </w:rPr>
        <w:t>区</w:t>
      </w:r>
      <w:r>
        <w:rPr>
          <w:rFonts w:hint="eastAsia" w:ascii="仿宋_GB2312" w:eastAsia="仿宋_GB2312" w:cs="Times New Roman" w:hAnsiTheme="minorHAnsi"/>
          <w:color w:val="auto"/>
          <w:kern w:val="2"/>
          <w:sz w:val="32"/>
          <w:szCs w:val="22"/>
          <w:highlight w:val="none"/>
          <w:lang w:val="en-US" w:eastAsia="zh-CN" w:bidi="ar-SA"/>
        </w:rPr>
        <w:t>初审→</w:t>
      </w:r>
      <w:r>
        <w:rPr>
          <w:rFonts w:hint="eastAsia" w:cs="Times New Roman" w:hAnsiTheme="minorHAnsi"/>
          <w:color w:val="auto"/>
          <w:kern w:val="2"/>
          <w:sz w:val="32"/>
          <w:szCs w:val="22"/>
          <w:highlight w:val="none"/>
          <w:lang w:val="en-US" w:eastAsia="zh-CN" w:bidi="ar-SA"/>
        </w:rPr>
        <w:t>市工业互联网创新发展中心</w:t>
      </w:r>
      <w:r>
        <w:rPr>
          <w:rFonts w:hint="eastAsia" w:ascii="仿宋_GB2312" w:eastAsia="仿宋_GB2312" w:cs="Times New Roman" w:hAnsiTheme="minorHAnsi"/>
          <w:color w:val="auto"/>
          <w:kern w:val="2"/>
          <w:sz w:val="32"/>
          <w:szCs w:val="22"/>
          <w:highlight w:val="none"/>
          <w:lang w:val="en-US" w:eastAsia="zh-CN" w:bidi="ar-SA"/>
        </w:rPr>
        <w:t>完整性审核→市</w:t>
      </w:r>
      <w:r>
        <w:rPr>
          <w:rFonts w:hint="eastAsia" w:cs="Times New Roman" w:hAnsiTheme="minorHAnsi"/>
          <w:color w:val="auto"/>
          <w:kern w:val="2"/>
          <w:sz w:val="32"/>
          <w:szCs w:val="22"/>
          <w:highlight w:val="none"/>
          <w:lang w:val="en-US" w:eastAsia="zh-CN" w:bidi="ar-SA"/>
        </w:rPr>
        <w:t>级</w:t>
      </w:r>
      <w:r>
        <w:rPr>
          <w:rFonts w:hint="eastAsia" w:ascii="仿宋_GB2312" w:eastAsia="仿宋_GB2312" w:cs="Times New Roman" w:hAnsiTheme="minorHAnsi"/>
          <w:color w:val="auto"/>
          <w:kern w:val="2"/>
          <w:sz w:val="32"/>
          <w:szCs w:val="22"/>
          <w:highlight w:val="none"/>
          <w:lang w:val="en-US" w:eastAsia="zh-CN" w:bidi="ar-SA"/>
        </w:rPr>
        <w:t>复审→名单公示→资金</w:t>
      </w:r>
      <w:r>
        <w:rPr>
          <w:rFonts w:hint="eastAsia" w:cs="Times New Roman" w:hAnsiTheme="minorHAnsi"/>
          <w:color w:val="auto"/>
          <w:kern w:val="2"/>
          <w:sz w:val="32"/>
          <w:szCs w:val="22"/>
          <w:highlight w:val="none"/>
          <w:lang w:val="en-US" w:eastAsia="zh-CN" w:bidi="ar-SA"/>
        </w:rPr>
        <w:t>拨付，共计7项流程</w:t>
      </w:r>
      <w:r>
        <w:rPr>
          <w:rFonts w:hint="eastAsia" w:ascii="仿宋_GB2312" w:eastAsia="仿宋_GB2312" w:cs="Times New Roman" w:hAnsiTheme="minorHAnsi"/>
          <w:color w:val="auto"/>
          <w:kern w:val="2"/>
          <w:sz w:val="32"/>
          <w:szCs w:val="22"/>
          <w:highlight w:val="none"/>
          <w:lang w:val="en-US" w:eastAsia="zh-CN" w:bidi="ar-SA"/>
        </w:rPr>
        <w:t>。</w:t>
      </w:r>
      <w:r>
        <w:rPr>
          <w:rFonts w:hint="eastAsia"/>
          <w:color w:val="auto"/>
          <w:highlight w:val="none"/>
          <w:lang w:val="en-US" w:eastAsia="zh-CN"/>
        </w:rPr>
        <w:t>具体申报流程如图1所示</w:t>
      </w:r>
      <w:r>
        <w:rPr>
          <w:color w:val="auto"/>
          <w:highlight w:val="none"/>
        </w:rPr>
        <w:t>。</w:t>
      </w:r>
    </w:p>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720" w:type="dxa"/>
          </w:tcPr>
          <w:p>
            <w:pPr>
              <w:spacing w:line="240" w:lineRule="auto"/>
              <w:ind w:firstLine="0" w:firstLineChars="0"/>
              <w:rPr>
                <w:rFonts w:hint="eastAsia" w:ascii="仿宋_GB2312" w:hAnsi="仿宋_GB2312" w:eastAsia="仿宋_GB2312" w:cs="仿宋_GB2312"/>
                <w:color w:val="auto"/>
                <w:sz w:val="32"/>
                <w:szCs w:val="40"/>
                <w:highlight w:val="none"/>
                <w:vertAlign w:val="baseline"/>
              </w:rPr>
            </w:pPr>
            <w:r>
              <w:rPr>
                <w:color w:val="auto"/>
                <w:highlight w:val="none"/>
              </w:rPr>
              <w:drawing>
                <wp:inline distT="0" distB="0" distL="114300" distR="114300">
                  <wp:extent cx="5269865" cy="2781935"/>
                  <wp:effectExtent l="0" t="0" r="635" b="1206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5269865" cy="2781935"/>
                          </a:xfrm>
                          <a:prstGeom prst="rect">
                            <a:avLst/>
                          </a:prstGeom>
                          <a:noFill/>
                          <a:ln>
                            <a:noFill/>
                          </a:ln>
                        </pic:spPr>
                      </pic:pic>
                    </a:graphicData>
                  </a:graphic>
                </wp:inline>
              </w:drawing>
            </w:r>
          </w:p>
        </w:tc>
      </w:tr>
    </w:tbl>
    <w:p>
      <w:pPr>
        <w:pStyle w:val="6"/>
        <w:rPr>
          <w:rFonts w:hint="eastAsia" w:eastAsia="宋体"/>
          <w:color w:val="auto"/>
          <w:highlight w:val="none"/>
          <w:lang w:eastAsia="zh-CN"/>
        </w:rPr>
      </w:pPr>
      <w:r>
        <w:rPr>
          <w:color w:val="auto"/>
          <w:highlight w:val="none"/>
        </w:rPr>
        <w:t xml:space="preserve">图 </w:t>
      </w:r>
      <w:r>
        <w:rPr>
          <w:color w:val="auto"/>
          <w:highlight w:val="none"/>
        </w:rPr>
        <w:fldChar w:fldCharType="begin"/>
      </w:r>
      <w:r>
        <w:rPr>
          <w:color w:val="auto"/>
          <w:highlight w:val="none"/>
        </w:rPr>
        <w:instrText xml:space="preserve"> SEQ 图 \* ARABIC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eastAsia="zh-CN"/>
        </w:rPr>
        <w:t xml:space="preserve"> 申报流程</w:t>
      </w:r>
    </w:p>
    <w:p>
      <w:pPr>
        <w:keepNext w:val="0"/>
        <w:keepLines w:val="0"/>
        <w:pageBreakBefore w:val="0"/>
        <w:widowControl w:val="0"/>
        <w:numPr>
          <w:ilvl w:val="0"/>
          <w:numId w:val="0"/>
        </w:numPr>
        <w:shd w:val="clear"/>
        <w:kinsoku/>
        <w:wordWrap/>
        <w:overflowPunct w:val="0"/>
        <w:topLinePunct w:val="0"/>
        <w:autoSpaceDE/>
        <w:autoSpaceDN/>
        <w:bidi w:val="0"/>
        <w:adjustRightInd/>
        <w:snapToGrid/>
        <w:spacing w:line="600" w:lineRule="exact"/>
        <w:ind w:firstLine="640" w:firstLineChars="200"/>
        <w:textAlignment w:val="auto"/>
        <w:rPr>
          <w:rFonts w:hint="eastAsia" w:cs="仿宋_GB2312"/>
          <w:color w:val="auto"/>
          <w:kern w:val="2"/>
          <w:sz w:val="32"/>
          <w:szCs w:val="40"/>
          <w:highlight w:val="none"/>
          <w:lang w:val="en-US" w:eastAsia="zh-CN" w:bidi="ar-SA"/>
        </w:rPr>
      </w:pPr>
      <w:r>
        <w:rPr>
          <w:rFonts w:hint="eastAsia" w:cs="仿宋_GB2312"/>
          <w:color w:val="auto"/>
          <w:kern w:val="2"/>
          <w:sz w:val="32"/>
          <w:szCs w:val="40"/>
          <w:highlight w:val="none"/>
          <w:lang w:val="en-US" w:eastAsia="zh-CN" w:bidi="ar-SA"/>
        </w:rPr>
        <w:t>（3）政策实施过程</w:t>
      </w:r>
    </w:p>
    <w:p>
      <w:pPr>
        <w:pStyle w:val="6"/>
        <w:rPr>
          <w:rFonts w:hint="eastAsia" w:eastAsia="宋体"/>
          <w:color w:val="auto"/>
          <w:highlight w:val="none"/>
          <w:lang w:eastAsia="zh-CN"/>
        </w:rPr>
      </w:pPr>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eastAsia="zh-CN"/>
        </w:rPr>
        <w:t xml:space="preserve"> 支持集成电路产业发展资金组织申报过程情况表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2175"/>
        <w:gridCol w:w="1695"/>
        <w:gridCol w:w="3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743" w:type="dxa"/>
            <w:shd w:val="clear" w:color="auto" w:fill="auto"/>
            <w:vAlign w:val="center"/>
          </w:tcPr>
          <w:p>
            <w:pPr>
              <w:spacing w:line="240" w:lineRule="auto"/>
              <w:ind w:firstLine="0" w:firstLineChars="0"/>
              <w:jc w:val="center"/>
              <w:rPr>
                <w:rFonts w:hint="eastAsia" w:ascii="宋体" w:hAnsi="宋体" w:eastAsia="宋体" w:cs="宋体"/>
                <w:b/>
                <w:bCs/>
                <w:color w:val="auto"/>
                <w:sz w:val="24"/>
                <w:highlight w:val="none"/>
                <w:vertAlign w:val="baseline"/>
                <w:lang w:val="en-US" w:eastAsia="zh-CN"/>
              </w:rPr>
            </w:pPr>
            <w:r>
              <w:rPr>
                <w:rFonts w:hint="eastAsia" w:ascii="宋体" w:hAnsi="宋体" w:eastAsia="宋体" w:cs="宋体"/>
                <w:b/>
                <w:bCs/>
                <w:color w:val="auto"/>
                <w:sz w:val="24"/>
                <w:highlight w:val="none"/>
                <w:vertAlign w:val="baseline"/>
                <w:lang w:val="en-US" w:eastAsia="zh-CN"/>
              </w:rPr>
              <w:t>序号</w:t>
            </w:r>
          </w:p>
        </w:tc>
        <w:tc>
          <w:tcPr>
            <w:tcW w:w="2175" w:type="dxa"/>
            <w:shd w:val="clear" w:color="auto" w:fill="auto"/>
            <w:vAlign w:val="center"/>
          </w:tcPr>
          <w:p>
            <w:pPr>
              <w:spacing w:line="240" w:lineRule="auto"/>
              <w:ind w:firstLine="0" w:firstLineChars="0"/>
              <w:jc w:val="center"/>
              <w:rPr>
                <w:rFonts w:hint="eastAsia" w:ascii="宋体" w:hAnsi="宋体" w:eastAsia="宋体" w:cs="宋体"/>
                <w:b/>
                <w:bCs/>
                <w:color w:val="auto"/>
                <w:sz w:val="24"/>
                <w:highlight w:val="none"/>
                <w:vertAlign w:val="baseline"/>
                <w:lang w:val="en-US" w:eastAsia="zh-CN"/>
              </w:rPr>
            </w:pPr>
            <w:r>
              <w:rPr>
                <w:rFonts w:hint="eastAsia" w:ascii="宋体" w:hAnsi="宋体" w:eastAsia="宋体" w:cs="宋体"/>
                <w:b/>
                <w:bCs/>
                <w:color w:val="auto"/>
                <w:sz w:val="24"/>
                <w:highlight w:val="none"/>
                <w:vertAlign w:val="baseline"/>
                <w:lang w:val="en-US" w:eastAsia="zh-CN"/>
              </w:rPr>
              <w:t>时间</w:t>
            </w:r>
          </w:p>
        </w:tc>
        <w:tc>
          <w:tcPr>
            <w:tcW w:w="1695" w:type="dxa"/>
            <w:shd w:val="clear" w:color="auto" w:fill="auto"/>
            <w:vAlign w:val="center"/>
          </w:tcPr>
          <w:p>
            <w:pPr>
              <w:spacing w:line="240" w:lineRule="auto"/>
              <w:ind w:firstLine="0" w:firstLineChars="0"/>
              <w:jc w:val="center"/>
              <w:rPr>
                <w:rFonts w:hint="eastAsia" w:ascii="宋体" w:hAnsi="宋体" w:eastAsia="宋体" w:cs="宋体"/>
                <w:b/>
                <w:bCs/>
                <w:color w:val="auto"/>
                <w:sz w:val="24"/>
                <w:highlight w:val="none"/>
                <w:vertAlign w:val="baseline"/>
                <w:lang w:val="en-US" w:eastAsia="zh-CN"/>
              </w:rPr>
            </w:pPr>
            <w:r>
              <w:rPr>
                <w:rFonts w:hint="eastAsia" w:ascii="宋体" w:hAnsi="宋体" w:eastAsia="宋体" w:cs="宋体"/>
                <w:b/>
                <w:bCs/>
                <w:color w:val="auto"/>
                <w:sz w:val="24"/>
                <w:highlight w:val="none"/>
                <w:vertAlign w:val="baseline"/>
                <w:lang w:val="en-US" w:eastAsia="zh-CN"/>
              </w:rPr>
              <w:t>责任主体</w:t>
            </w:r>
          </w:p>
        </w:tc>
        <w:tc>
          <w:tcPr>
            <w:tcW w:w="3909" w:type="dxa"/>
            <w:shd w:val="clear" w:color="auto" w:fill="auto"/>
            <w:vAlign w:val="center"/>
          </w:tcPr>
          <w:p>
            <w:pPr>
              <w:spacing w:line="240" w:lineRule="auto"/>
              <w:ind w:firstLine="0" w:firstLineChars="0"/>
              <w:jc w:val="center"/>
              <w:rPr>
                <w:rFonts w:hint="eastAsia" w:ascii="宋体" w:hAnsi="宋体" w:eastAsia="宋体" w:cs="宋体"/>
                <w:b/>
                <w:bCs/>
                <w:color w:val="auto"/>
                <w:sz w:val="24"/>
                <w:highlight w:val="none"/>
                <w:vertAlign w:val="baseline"/>
                <w:lang w:val="en-US" w:eastAsia="zh-CN"/>
              </w:rPr>
            </w:pPr>
            <w:r>
              <w:rPr>
                <w:rFonts w:hint="eastAsia" w:ascii="宋体" w:hAnsi="宋体" w:eastAsia="宋体" w:cs="宋体"/>
                <w:b/>
                <w:bCs/>
                <w:color w:val="auto"/>
                <w:sz w:val="24"/>
                <w:highlight w:val="none"/>
                <w:vertAlign w:val="baseline"/>
                <w:lang w:val="en-US" w:eastAsia="zh-CN"/>
              </w:rPr>
              <w:t>实施内容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spacing w:line="240" w:lineRule="auto"/>
              <w:ind w:firstLine="0" w:firstLine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sz w:val="24"/>
                <w:highlight w:val="none"/>
                <w:vertAlign w:val="baseline"/>
                <w:lang w:val="en-US" w:eastAsia="zh-CN"/>
              </w:rPr>
              <w:t>1</w:t>
            </w:r>
          </w:p>
        </w:tc>
        <w:tc>
          <w:tcPr>
            <w:tcW w:w="2175" w:type="dxa"/>
            <w:vAlign w:val="center"/>
          </w:tcPr>
          <w:p>
            <w:pPr>
              <w:spacing w:line="24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2023年4月23日</w:t>
            </w:r>
          </w:p>
        </w:tc>
        <w:tc>
          <w:tcPr>
            <w:tcW w:w="1695" w:type="dxa"/>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rPr>
              <w:t>市工业和信息化局</w:t>
            </w:r>
          </w:p>
        </w:tc>
        <w:tc>
          <w:tcPr>
            <w:tcW w:w="3909" w:type="dxa"/>
            <w:vAlign w:val="center"/>
          </w:tcPr>
          <w:p>
            <w:pPr>
              <w:spacing w:line="240" w:lineRule="auto"/>
              <w:ind w:firstLine="0" w:firstLineChars="0"/>
              <w:jc w:val="both"/>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发布</w:t>
            </w:r>
            <w:r>
              <w:rPr>
                <w:rFonts w:hint="eastAsia" w:ascii="宋体" w:hAnsi="宋体" w:eastAsia="宋体" w:cs="宋体"/>
                <w:color w:val="auto"/>
                <w:sz w:val="24"/>
                <w:highlight w:val="none"/>
              </w:rPr>
              <w:t>《青岛市2024年度集成电路产业发展预算资金项目申报指南》</w:t>
            </w:r>
            <w:r>
              <w:rPr>
                <w:rFonts w:hint="eastAsia" w:ascii="宋体" w:hAnsi="宋体" w:eastAsia="宋体" w:cs="宋体"/>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2</w:t>
            </w:r>
          </w:p>
        </w:tc>
        <w:tc>
          <w:tcPr>
            <w:tcW w:w="217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2023年5月19日</w:t>
            </w:r>
          </w:p>
        </w:tc>
        <w:tc>
          <w:tcPr>
            <w:tcW w:w="169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申报企业</w:t>
            </w:r>
          </w:p>
        </w:tc>
        <w:tc>
          <w:tcPr>
            <w:tcW w:w="3909" w:type="dxa"/>
            <w:vAlign w:val="center"/>
          </w:tcPr>
          <w:p>
            <w:pPr>
              <w:spacing w:line="240" w:lineRule="auto"/>
              <w:ind w:firstLine="0" w:firstLineChars="0"/>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rPr>
              <w:t>通过“青岛政策通”平台提交申请材料</w:t>
            </w:r>
            <w:r>
              <w:rPr>
                <w:rFonts w:hint="eastAsia" w:ascii="宋体" w:hAnsi="宋体" w:eastAsia="宋体" w:cs="宋体"/>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3</w:t>
            </w:r>
          </w:p>
        </w:tc>
        <w:tc>
          <w:tcPr>
            <w:tcW w:w="217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2023年5月31日</w:t>
            </w:r>
          </w:p>
        </w:tc>
        <w:tc>
          <w:tcPr>
            <w:tcW w:w="169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eastAsia="zh-CN"/>
              </w:rPr>
              <w:t>区</w:t>
            </w:r>
            <w:r>
              <w:rPr>
                <w:rFonts w:hint="eastAsia" w:ascii="宋体" w:hAnsi="宋体" w:eastAsia="宋体" w:cs="宋体"/>
                <w:color w:val="auto"/>
                <w:sz w:val="24"/>
                <w:highlight w:val="none"/>
              </w:rPr>
              <w:t>工业和信息化主管部门</w:t>
            </w:r>
          </w:p>
        </w:tc>
        <w:tc>
          <w:tcPr>
            <w:tcW w:w="3909" w:type="dxa"/>
            <w:vAlign w:val="center"/>
          </w:tcPr>
          <w:p>
            <w:pPr>
              <w:spacing w:line="240" w:lineRule="auto"/>
              <w:ind w:firstLine="0" w:firstLineChars="0"/>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对</w:t>
            </w:r>
            <w:r>
              <w:rPr>
                <w:rFonts w:hint="eastAsia" w:ascii="宋体" w:hAnsi="宋体" w:eastAsia="宋体" w:cs="宋体"/>
                <w:color w:val="auto"/>
                <w:sz w:val="24"/>
                <w:highlight w:val="none"/>
              </w:rPr>
              <w:t>材料</w:t>
            </w:r>
            <w:r>
              <w:rPr>
                <w:rFonts w:hint="eastAsia" w:ascii="宋体" w:hAnsi="宋体" w:eastAsia="宋体" w:cs="宋体"/>
                <w:color w:val="auto"/>
                <w:sz w:val="24"/>
                <w:highlight w:val="none"/>
                <w:lang w:val="en-US" w:eastAsia="zh-CN"/>
              </w:rPr>
              <w:t>的</w:t>
            </w:r>
            <w:r>
              <w:rPr>
                <w:rFonts w:hint="eastAsia" w:ascii="宋体" w:hAnsi="宋体" w:eastAsia="宋体" w:cs="宋体"/>
                <w:color w:val="auto"/>
                <w:sz w:val="24"/>
                <w:highlight w:val="none"/>
              </w:rPr>
              <w:t>真实性</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完整性以及</w:t>
            </w:r>
            <w:r>
              <w:rPr>
                <w:rFonts w:hint="eastAsia" w:ascii="宋体" w:hAnsi="宋体" w:eastAsia="宋体" w:cs="宋体"/>
                <w:color w:val="auto"/>
                <w:sz w:val="24"/>
                <w:szCs w:val="24"/>
                <w:highlight w:val="none"/>
              </w:rPr>
              <w:t>是否违反财政涉企资金“绿色门槛”制度等情况进行初审</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并</w:t>
            </w:r>
            <w:r>
              <w:rPr>
                <w:rFonts w:hint="eastAsia" w:ascii="宋体" w:hAnsi="宋体" w:eastAsia="宋体" w:cs="宋体"/>
                <w:color w:val="auto"/>
                <w:sz w:val="24"/>
                <w:highlight w:val="none"/>
              </w:rPr>
              <w:t>联合</w:t>
            </w:r>
            <w:r>
              <w:rPr>
                <w:rFonts w:hint="eastAsia" w:ascii="宋体" w:hAnsi="宋体" w:eastAsia="宋体" w:cs="宋体"/>
                <w:color w:val="auto"/>
                <w:sz w:val="24"/>
                <w:highlight w:val="none"/>
                <w:lang w:val="en-US" w:eastAsia="zh-CN"/>
              </w:rPr>
              <w:t>同级</w:t>
            </w:r>
            <w:r>
              <w:rPr>
                <w:rFonts w:hint="eastAsia" w:ascii="宋体" w:hAnsi="宋体" w:eastAsia="宋体" w:cs="宋体"/>
                <w:color w:val="auto"/>
                <w:sz w:val="24"/>
                <w:highlight w:val="none"/>
              </w:rPr>
              <w:t>财政部门</w:t>
            </w:r>
            <w:r>
              <w:rPr>
                <w:rFonts w:hint="eastAsia" w:ascii="宋体" w:hAnsi="宋体" w:eastAsia="宋体" w:cs="宋体"/>
                <w:color w:val="auto"/>
                <w:sz w:val="24"/>
                <w:highlight w:val="none"/>
                <w:lang w:val="en-US" w:eastAsia="zh-CN"/>
              </w:rPr>
              <w:t>将推荐文件、初审意见表报送</w:t>
            </w:r>
            <w:r>
              <w:rPr>
                <w:rFonts w:hint="eastAsia" w:ascii="宋体" w:hAnsi="宋体" w:eastAsia="宋体" w:cs="宋体"/>
                <w:color w:val="auto"/>
                <w:sz w:val="24"/>
                <w:highlight w:val="none"/>
              </w:rPr>
              <w:t>至市工业互联网创新发展中心</w:t>
            </w:r>
            <w:r>
              <w:rPr>
                <w:rFonts w:hint="eastAsia" w:ascii="宋体" w:hAnsi="宋体" w:eastAsia="宋体" w:cs="宋体"/>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4</w:t>
            </w:r>
          </w:p>
        </w:tc>
        <w:tc>
          <w:tcPr>
            <w:tcW w:w="217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2023年6月6日</w:t>
            </w:r>
          </w:p>
        </w:tc>
        <w:tc>
          <w:tcPr>
            <w:tcW w:w="169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eastAsia="zh-CN"/>
              </w:rPr>
              <w:t>市工业互联网创新发展中心</w:t>
            </w:r>
          </w:p>
        </w:tc>
        <w:tc>
          <w:tcPr>
            <w:tcW w:w="3909" w:type="dxa"/>
            <w:vAlign w:val="center"/>
          </w:tcPr>
          <w:p>
            <w:pPr>
              <w:spacing w:line="240" w:lineRule="auto"/>
              <w:ind w:firstLine="0" w:firstLineChars="0"/>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对材料进行</w:t>
            </w:r>
            <w:r>
              <w:rPr>
                <w:rFonts w:hint="eastAsia" w:ascii="宋体" w:hAnsi="宋体" w:eastAsia="宋体" w:cs="宋体"/>
                <w:color w:val="auto"/>
                <w:sz w:val="24"/>
                <w:highlight w:val="none"/>
              </w:rPr>
              <w:t>完整性</w:t>
            </w:r>
            <w:r>
              <w:rPr>
                <w:rFonts w:hint="eastAsia" w:ascii="宋体" w:hAnsi="宋体" w:eastAsia="宋体" w:cs="宋体"/>
                <w:color w:val="auto"/>
                <w:sz w:val="24"/>
                <w:highlight w:val="none"/>
                <w:lang w:val="en-US" w:eastAsia="zh-CN"/>
              </w:rPr>
              <w:t>审核</w:t>
            </w:r>
            <w:r>
              <w:rPr>
                <w:rFonts w:hint="eastAsia" w:ascii="宋体" w:hAnsi="宋体" w:eastAsia="宋体" w:cs="宋体"/>
                <w:color w:val="auto"/>
                <w:sz w:val="24"/>
                <w:highlight w:val="none"/>
              </w:rPr>
              <w:t>后</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提交</w:t>
            </w:r>
            <w:r>
              <w:rPr>
                <w:rFonts w:hint="eastAsia" w:ascii="宋体" w:hAnsi="宋体" w:eastAsia="宋体" w:cs="宋体"/>
                <w:color w:val="auto"/>
                <w:sz w:val="24"/>
                <w:highlight w:val="none"/>
                <w:lang w:val="en-US" w:eastAsia="zh-CN"/>
              </w:rPr>
              <w:t>至</w:t>
            </w:r>
            <w:r>
              <w:rPr>
                <w:rFonts w:hint="eastAsia" w:ascii="宋体" w:hAnsi="宋体" w:eastAsia="宋体" w:cs="宋体"/>
                <w:color w:val="auto"/>
                <w:sz w:val="24"/>
                <w:highlight w:val="none"/>
              </w:rPr>
              <w:t>市工业和信息化局</w:t>
            </w:r>
            <w:r>
              <w:rPr>
                <w:rFonts w:hint="eastAsia" w:ascii="宋体" w:hAnsi="宋体" w:eastAsia="宋体" w:cs="宋体"/>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5</w:t>
            </w:r>
          </w:p>
        </w:tc>
        <w:tc>
          <w:tcPr>
            <w:tcW w:w="217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szCs w:val="24"/>
                <w:highlight w:val="none"/>
              </w:rPr>
              <w:t>2023年12月26日</w:t>
            </w:r>
          </w:p>
        </w:tc>
        <w:tc>
          <w:tcPr>
            <w:tcW w:w="169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rPr>
              <w:t>市工业和信息化局</w:t>
            </w:r>
          </w:p>
        </w:tc>
        <w:tc>
          <w:tcPr>
            <w:tcW w:w="3909" w:type="dxa"/>
            <w:vAlign w:val="center"/>
          </w:tcPr>
          <w:p>
            <w:pPr>
              <w:spacing w:line="240" w:lineRule="auto"/>
              <w:ind w:firstLine="0" w:firstLineChars="0"/>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szCs w:val="24"/>
                <w:highlight w:val="none"/>
              </w:rPr>
              <w:t>委托第三方机构（青岛元亨联合会计师事务所）对企业申报项目进行专项审计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经审核，24家企业的46个申报项目中，9家企业的10个项目符合申报要求</w:t>
            </w:r>
            <w:r>
              <w:rPr>
                <w:rFonts w:hint="eastAsia" w:ascii="宋体" w:hAnsi="宋体" w:eastAsia="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keepNext/>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6</w:t>
            </w:r>
          </w:p>
        </w:tc>
        <w:tc>
          <w:tcPr>
            <w:tcW w:w="2175" w:type="dxa"/>
            <w:vAlign w:val="center"/>
          </w:tcPr>
          <w:p>
            <w:pPr>
              <w:keepNext/>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2024年1月23日</w:t>
            </w:r>
          </w:p>
        </w:tc>
        <w:tc>
          <w:tcPr>
            <w:tcW w:w="1695" w:type="dxa"/>
            <w:vAlign w:val="center"/>
          </w:tcPr>
          <w:p>
            <w:pPr>
              <w:keepNext/>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市工业和信息化局</w:t>
            </w:r>
          </w:p>
        </w:tc>
        <w:tc>
          <w:tcPr>
            <w:tcW w:w="3909" w:type="dxa"/>
            <w:vAlign w:val="center"/>
          </w:tcPr>
          <w:p>
            <w:pPr>
              <w:keepNext/>
              <w:spacing w:line="240" w:lineRule="auto"/>
              <w:ind w:firstLine="0" w:firstLineChars="0"/>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在</w:t>
            </w:r>
            <w:r>
              <w:rPr>
                <w:rFonts w:hint="eastAsia" w:ascii="宋体" w:hAnsi="宋体" w:eastAsia="宋体" w:cs="宋体"/>
                <w:color w:val="auto"/>
                <w:sz w:val="24"/>
                <w:highlight w:val="none"/>
              </w:rPr>
              <w:t>“青岛政策通”平台</w:t>
            </w:r>
            <w:r>
              <w:rPr>
                <w:rFonts w:hint="eastAsia" w:ascii="宋体" w:hAnsi="宋体" w:eastAsia="宋体" w:cs="宋体"/>
                <w:color w:val="auto"/>
                <w:sz w:val="24"/>
                <w:highlight w:val="none"/>
                <w:lang w:val="en-US" w:eastAsia="zh-CN"/>
              </w:rPr>
              <w:t>和青岛市工业和信息化局政务网上公示9家奖补企业，公示时间为5个工作日。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shd w:val="clear" w:color="auto" w:fill="auto"/>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7</w:t>
            </w:r>
          </w:p>
        </w:tc>
        <w:tc>
          <w:tcPr>
            <w:tcW w:w="2175" w:type="dxa"/>
            <w:vAlign w:val="center"/>
          </w:tcPr>
          <w:p>
            <w:pPr>
              <w:spacing w:line="24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2024年4月19日</w:t>
            </w:r>
          </w:p>
        </w:tc>
        <w:tc>
          <w:tcPr>
            <w:tcW w:w="1695" w:type="dxa"/>
            <w:vAlign w:val="center"/>
          </w:tcPr>
          <w:p>
            <w:pPr>
              <w:spacing w:line="240" w:lineRule="auto"/>
              <w:ind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市工业和信息化局</w:t>
            </w:r>
          </w:p>
        </w:tc>
        <w:tc>
          <w:tcPr>
            <w:tcW w:w="3909" w:type="dxa"/>
            <w:vAlign w:val="center"/>
          </w:tcPr>
          <w:p>
            <w:pPr>
              <w:spacing w:line="240" w:lineRule="auto"/>
              <w:ind w:firstLine="0" w:firstLineChars="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向市财政局申请拨付支持集成电路产业发展资金1325万元。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3" w:type="dxa"/>
            <w:vAlign w:val="center"/>
          </w:tcPr>
          <w:p>
            <w:pPr>
              <w:spacing w:line="240" w:lineRule="auto"/>
              <w:ind w:firstLine="0" w:firstLineChars="0"/>
              <w:jc w:val="center"/>
              <w:rPr>
                <w:rFonts w:hint="default"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vertAlign w:val="baseline"/>
                <w:lang w:val="en-US" w:eastAsia="zh-CN"/>
              </w:rPr>
              <w:t>8</w:t>
            </w:r>
          </w:p>
        </w:tc>
        <w:tc>
          <w:tcPr>
            <w:tcW w:w="217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2024年</w:t>
            </w:r>
            <w:r>
              <w:rPr>
                <w:rFonts w:hint="eastAsia" w:ascii="宋体" w:hAnsi="宋体" w:eastAsia="宋体" w:cs="宋体"/>
                <w:b w:val="0"/>
                <w:bCs w:val="0"/>
                <w:color w:val="auto"/>
                <w:kern w:val="2"/>
                <w:sz w:val="24"/>
                <w:szCs w:val="24"/>
                <w:highlight w:val="none"/>
                <w:lang w:val="en-US" w:eastAsia="zh-CN" w:bidi="ar-SA"/>
              </w:rPr>
              <w:t>6月4日</w:t>
            </w:r>
          </w:p>
        </w:tc>
        <w:tc>
          <w:tcPr>
            <w:tcW w:w="1695" w:type="dxa"/>
            <w:vAlign w:val="center"/>
          </w:tcPr>
          <w:p>
            <w:pPr>
              <w:spacing w:line="240" w:lineRule="auto"/>
              <w:ind w:firstLine="0" w:firstLineChars="0"/>
              <w:jc w:val="center"/>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rPr>
              <w:t>市财政局</w:t>
            </w:r>
          </w:p>
        </w:tc>
        <w:tc>
          <w:tcPr>
            <w:tcW w:w="3909" w:type="dxa"/>
            <w:vAlign w:val="center"/>
          </w:tcPr>
          <w:p>
            <w:pPr>
              <w:spacing w:line="240" w:lineRule="auto"/>
              <w:ind w:firstLine="0" w:firstLineChars="0"/>
              <w:rPr>
                <w:rFonts w:hint="eastAsia" w:ascii="宋体" w:hAnsi="宋体" w:eastAsia="宋体" w:cs="宋体"/>
                <w:color w:val="auto"/>
                <w:sz w:val="24"/>
                <w:highlight w:val="none"/>
                <w:vertAlign w:val="baseline"/>
                <w:lang w:val="en-US" w:eastAsia="zh-CN"/>
              </w:rPr>
            </w:pPr>
            <w:r>
              <w:rPr>
                <w:rFonts w:hint="eastAsia" w:ascii="宋体" w:hAnsi="宋体" w:eastAsia="宋体" w:cs="宋体"/>
                <w:color w:val="auto"/>
                <w:sz w:val="24"/>
                <w:highlight w:val="none"/>
                <w:lang w:val="en-US" w:eastAsia="zh-CN"/>
              </w:rPr>
              <w:t>将奖补资金1325万元，</w:t>
            </w:r>
            <w:r>
              <w:rPr>
                <w:rFonts w:hint="eastAsia" w:ascii="宋体" w:hAnsi="宋体" w:eastAsia="宋体" w:cs="宋体"/>
                <w:color w:val="auto"/>
                <w:sz w:val="24"/>
                <w:highlight w:val="none"/>
              </w:rPr>
              <w:t>拨付至</w:t>
            </w:r>
            <w:r>
              <w:rPr>
                <w:rFonts w:hint="eastAsia" w:ascii="宋体" w:hAnsi="宋体" w:eastAsia="宋体" w:cs="宋体"/>
                <w:color w:val="auto"/>
                <w:sz w:val="24"/>
                <w:highlight w:val="none"/>
                <w:lang w:val="en-US" w:eastAsia="zh-CN"/>
              </w:rPr>
              <w:t>申报主体</w:t>
            </w:r>
            <w:r>
              <w:rPr>
                <w:rFonts w:hint="eastAsia" w:ascii="宋体" w:hAnsi="宋体" w:eastAsia="宋体" w:cs="宋体"/>
                <w:color w:val="auto"/>
                <w:sz w:val="24"/>
                <w:highlight w:val="none"/>
              </w:rPr>
              <w:t>注册地财政部门，由</w:t>
            </w:r>
            <w:r>
              <w:rPr>
                <w:rFonts w:hint="eastAsia" w:ascii="宋体" w:hAnsi="宋体" w:eastAsia="宋体" w:cs="宋体"/>
                <w:color w:val="auto"/>
                <w:sz w:val="24"/>
                <w:highlight w:val="none"/>
                <w:lang w:eastAsia="zh-CN"/>
              </w:rPr>
              <w:t>区</w:t>
            </w:r>
            <w:r>
              <w:rPr>
                <w:rFonts w:hint="eastAsia" w:ascii="宋体" w:hAnsi="宋体" w:eastAsia="宋体" w:cs="宋体"/>
                <w:color w:val="auto"/>
                <w:sz w:val="24"/>
                <w:highlight w:val="none"/>
              </w:rPr>
              <w:t>财</w:t>
            </w:r>
            <w:r>
              <w:rPr>
                <w:rFonts w:hint="eastAsia" w:ascii="宋体" w:hAnsi="宋体" w:eastAsia="宋体" w:cs="宋体"/>
                <w:color w:val="auto"/>
                <w:sz w:val="24"/>
                <w:highlight w:val="none"/>
                <w:lang w:eastAsia="zh-CN"/>
              </w:rPr>
              <w:t>政局</w:t>
            </w:r>
            <w:r>
              <w:rPr>
                <w:rFonts w:hint="eastAsia" w:ascii="宋体" w:hAnsi="宋体" w:eastAsia="宋体" w:cs="宋体"/>
                <w:color w:val="auto"/>
                <w:sz w:val="24"/>
                <w:highlight w:val="none"/>
                <w:lang w:val="en-US" w:eastAsia="zh-CN"/>
              </w:rPr>
              <w:t>会同</w:t>
            </w:r>
            <w:r>
              <w:rPr>
                <w:rFonts w:hint="eastAsia" w:ascii="宋体" w:hAnsi="宋体" w:eastAsia="宋体" w:cs="宋体"/>
                <w:color w:val="auto"/>
                <w:sz w:val="24"/>
                <w:highlight w:val="none"/>
              </w:rPr>
              <w:t>工信部门联合</w:t>
            </w:r>
            <w:r>
              <w:rPr>
                <w:rFonts w:hint="eastAsia" w:ascii="宋体" w:hAnsi="宋体" w:eastAsia="宋体" w:cs="宋体"/>
                <w:color w:val="auto"/>
                <w:sz w:val="24"/>
                <w:highlight w:val="none"/>
                <w:lang w:val="en-US" w:eastAsia="zh-CN"/>
              </w:rPr>
              <w:t>将资金拨付至申报主体。</w:t>
            </w:r>
          </w:p>
        </w:tc>
      </w:tr>
    </w:tbl>
    <w:p>
      <w:pPr>
        <w:keepNext w:val="0"/>
        <w:keepLines w:val="0"/>
        <w:pageBreakBefore w:val="0"/>
        <w:widowControl w:val="0"/>
        <w:numPr>
          <w:ilvl w:val="0"/>
          <w:numId w:val="0"/>
        </w:numPr>
        <w:shd w:val="clear"/>
        <w:kinsoku/>
        <w:wordWrap/>
        <w:overflowPunct w:val="0"/>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kern w:val="2"/>
          <w:sz w:val="32"/>
          <w:szCs w:val="40"/>
          <w:highlight w:val="none"/>
          <w:lang w:val="en-US" w:eastAsia="zh-CN" w:bidi="ar-SA"/>
        </w:rPr>
        <w:t>4.</w:t>
      </w:r>
      <w:r>
        <w:rPr>
          <w:rFonts w:hint="eastAsia" w:ascii="仿宋_GB2312" w:hAnsi="仿宋_GB2312" w:eastAsia="仿宋_GB2312" w:cs="仿宋_GB2312"/>
          <w:b/>
          <w:bCs/>
          <w:color w:val="auto"/>
          <w:sz w:val="32"/>
          <w:szCs w:val="40"/>
          <w:highlight w:val="none"/>
        </w:rPr>
        <w:t>资金投入及使用情况</w:t>
      </w:r>
    </w:p>
    <w:p>
      <w:pPr>
        <w:keepNext w:val="0"/>
        <w:keepLines w:val="0"/>
        <w:pageBreakBefore w:val="0"/>
        <w:widowControl w:val="0"/>
        <w:numPr>
          <w:ilvl w:val="0"/>
          <w:numId w:val="0"/>
        </w:numPr>
        <w:shd w:val="clear"/>
        <w:kinsoku/>
        <w:wordWrap/>
        <w:overflowPunct w:val="0"/>
        <w:topLinePunct w:val="0"/>
        <w:autoSpaceDE/>
        <w:autoSpaceDN/>
        <w:bidi w:val="0"/>
        <w:adjustRightInd/>
        <w:snapToGrid/>
        <w:spacing w:line="600" w:lineRule="exact"/>
        <w:ind w:firstLine="640" w:firstLineChars="200"/>
        <w:textAlignment w:val="auto"/>
        <w:rPr>
          <w:rFonts w:hint="eastAsia" w:cs="Times New Roman" w:hAnsiTheme="minorHAnsi"/>
          <w:b w:val="0"/>
          <w:bCs w:val="0"/>
          <w:color w:val="auto"/>
          <w:kern w:val="2"/>
          <w:sz w:val="32"/>
          <w:szCs w:val="22"/>
          <w:highlight w:val="none"/>
          <w:lang w:val="en-US" w:eastAsia="zh-CN" w:bidi="ar-SA"/>
        </w:rPr>
      </w:pPr>
      <w:r>
        <w:rPr>
          <w:rFonts w:hint="eastAsia" w:cs="Times New Roman" w:hAnsiTheme="minorHAnsi"/>
          <w:b w:val="0"/>
          <w:bCs w:val="0"/>
          <w:color w:val="auto"/>
          <w:kern w:val="2"/>
          <w:sz w:val="32"/>
          <w:szCs w:val="22"/>
          <w:highlight w:val="none"/>
          <w:lang w:val="en-US" w:eastAsia="zh-CN" w:bidi="ar-SA"/>
        </w:rPr>
        <w:t>2024年支持集成电路产业发展资金预算安排1325</w:t>
      </w:r>
      <w:r>
        <w:rPr>
          <w:rFonts w:hint="eastAsia" w:ascii="仿宋_GB2312" w:eastAsia="仿宋_GB2312" w:cs="Times New Roman" w:hAnsiTheme="minorHAnsi"/>
          <w:b w:val="0"/>
          <w:bCs w:val="0"/>
          <w:color w:val="auto"/>
          <w:kern w:val="2"/>
          <w:sz w:val="32"/>
          <w:szCs w:val="22"/>
          <w:highlight w:val="none"/>
          <w:lang w:val="en-US" w:eastAsia="zh-CN" w:bidi="ar-SA"/>
        </w:rPr>
        <w:t>万元</w:t>
      </w:r>
      <w:r>
        <w:rPr>
          <w:rFonts w:hint="eastAsia" w:cs="Times New Roman" w:hAnsiTheme="minorHAnsi"/>
          <w:b w:val="0"/>
          <w:bCs w:val="0"/>
          <w:color w:val="auto"/>
          <w:kern w:val="2"/>
          <w:sz w:val="32"/>
          <w:szCs w:val="22"/>
          <w:highlight w:val="none"/>
          <w:lang w:val="en-US" w:eastAsia="zh-CN" w:bidi="ar-SA"/>
        </w:rPr>
        <w:t>，涉及奖补企业9家。</w:t>
      </w:r>
      <w:r>
        <w:rPr>
          <w:rFonts w:hint="eastAsia" w:ascii="仿宋_GB2312" w:eastAsia="仿宋_GB2312" w:cs="Times New Roman" w:hAnsiTheme="minorHAnsi"/>
          <w:b w:val="0"/>
          <w:bCs w:val="0"/>
          <w:color w:val="auto"/>
          <w:kern w:val="2"/>
          <w:sz w:val="32"/>
          <w:szCs w:val="22"/>
          <w:highlight w:val="none"/>
          <w:lang w:val="en-US" w:eastAsia="zh-CN" w:bidi="ar-SA"/>
        </w:rPr>
        <w:t>202</w:t>
      </w:r>
      <w:r>
        <w:rPr>
          <w:rFonts w:hint="eastAsia" w:cs="Times New Roman" w:hAnsiTheme="minorHAnsi"/>
          <w:b w:val="0"/>
          <w:bCs w:val="0"/>
          <w:color w:val="auto"/>
          <w:kern w:val="2"/>
          <w:sz w:val="32"/>
          <w:szCs w:val="22"/>
          <w:highlight w:val="none"/>
          <w:lang w:val="en-US" w:eastAsia="zh-CN" w:bidi="ar-SA"/>
        </w:rPr>
        <w:t>4</w:t>
      </w:r>
      <w:r>
        <w:rPr>
          <w:rFonts w:hint="eastAsia" w:ascii="仿宋_GB2312" w:eastAsia="仿宋_GB2312" w:cs="Times New Roman" w:hAnsiTheme="minorHAnsi"/>
          <w:b w:val="0"/>
          <w:bCs w:val="0"/>
          <w:color w:val="auto"/>
          <w:kern w:val="2"/>
          <w:sz w:val="32"/>
          <w:szCs w:val="22"/>
          <w:highlight w:val="none"/>
          <w:lang w:val="en-US" w:eastAsia="zh-CN" w:bidi="ar-SA"/>
        </w:rPr>
        <w:t>年</w:t>
      </w:r>
      <w:r>
        <w:rPr>
          <w:rFonts w:hint="eastAsia" w:cs="Times New Roman" w:hAnsiTheme="minorHAnsi"/>
          <w:b w:val="0"/>
          <w:bCs w:val="0"/>
          <w:color w:val="auto"/>
          <w:kern w:val="2"/>
          <w:sz w:val="32"/>
          <w:szCs w:val="22"/>
          <w:highlight w:val="none"/>
          <w:lang w:val="en-US" w:eastAsia="zh-CN" w:bidi="ar-SA"/>
        </w:rPr>
        <w:t>6</w:t>
      </w:r>
      <w:r>
        <w:rPr>
          <w:rFonts w:hint="eastAsia" w:ascii="仿宋_GB2312" w:eastAsia="仿宋_GB2312" w:cs="Times New Roman" w:hAnsiTheme="minorHAnsi"/>
          <w:b w:val="0"/>
          <w:bCs w:val="0"/>
          <w:color w:val="auto"/>
          <w:kern w:val="2"/>
          <w:sz w:val="32"/>
          <w:szCs w:val="22"/>
          <w:highlight w:val="none"/>
          <w:lang w:val="en-US" w:eastAsia="zh-CN" w:bidi="ar-SA"/>
        </w:rPr>
        <w:t>月</w:t>
      </w:r>
      <w:r>
        <w:rPr>
          <w:rFonts w:hint="eastAsia" w:cs="Times New Roman" w:hAnsiTheme="minorHAnsi"/>
          <w:b w:val="0"/>
          <w:bCs w:val="0"/>
          <w:color w:val="auto"/>
          <w:kern w:val="2"/>
          <w:sz w:val="32"/>
          <w:szCs w:val="22"/>
          <w:highlight w:val="none"/>
          <w:lang w:val="en-US" w:eastAsia="zh-CN" w:bidi="ar-SA"/>
        </w:rPr>
        <w:t>4</w:t>
      </w:r>
      <w:r>
        <w:rPr>
          <w:rFonts w:hint="eastAsia" w:ascii="仿宋_GB2312" w:eastAsia="仿宋_GB2312" w:cs="Times New Roman" w:hAnsiTheme="minorHAnsi"/>
          <w:b w:val="0"/>
          <w:bCs w:val="0"/>
          <w:color w:val="auto"/>
          <w:kern w:val="2"/>
          <w:sz w:val="32"/>
          <w:szCs w:val="22"/>
          <w:highlight w:val="none"/>
          <w:lang w:val="en-US" w:eastAsia="zh-CN" w:bidi="ar-SA"/>
        </w:rPr>
        <w:t>日，</w:t>
      </w:r>
      <w:r>
        <w:rPr>
          <w:rFonts w:hint="eastAsia" w:cs="Times New Roman" w:hAnsiTheme="minorHAnsi"/>
          <w:b w:val="0"/>
          <w:bCs w:val="0"/>
          <w:color w:val="auto"/>
          <w:kern w:val="2"/>
          <w:sz w:val="32"/>
          <w:szCs w:val="22"/>
          <w:highlight w:val="none"/>
          <w:lang w:val="en-US" w:eastAsia="zh-CN" w:bidi="ar-SA"/>
        </w:rPr>
        <w:t>青岛市</w:t>
      </w:r>
      <w:r>
        <w:rPr>
          <w:rFonts w:hint="eastAsia" w:ascii="仿宋_GB2312" w:eastAsia="仿宋_GB2312" w:cs="Times New Roman" w:hAnsiTheme="minorHAnsi"/>
          <w:b w:val="0"/>
          <w:bCs w:val="0"/>
          <w:color w:val="auto"/>
          <w:kern w:val="2"/>
          <w:sz w:val="32"/>
          <w:szCs w:val="22"/>
          <w:highlight w:val="none"/>
          <w:lang w:val="en-US" w:eastAsia="zh-CN" w:bidi="ar-SA"/>
        </w:rPr>
        <w:t>财政局</w:t>
      </w:r>
      <w:r>
        <w:rPr>
          <w:rFonts w:hint="eastAsia" w:cs="Times New Roman" w:hAnsiTheme="minorHAnsi"/>
          <w:b w:val="0"/>
          <w:bCs w:val="0"/>
          <w:color w:val="auto"/>
          <w:kern w:val="2"/>
          <w:sz w:val="32"/>
          <w:szCs w:val="22"/>
          <w:highlight w:val="none"/>
          <w:lang w:val="en-US" w:eastAsia="zh-CN" w:bidi="ar-SA"/>
        </w:rPr>
        <w:t>印发</w:t>
      </w:r>
      <w:r>
        <w:rPr>
          <w:rFonts w:hint="eastAsia" w:ascii="仿宋_GB2312" w:eastAsia="仿宋_GB2312" w:cs="Times New Roman" w:hAnsiTheme="minorHAnsi"/>
          <w:b w:val="0"/>
          <w:bCs w:val="0"/>
          <w:color w:val="auto"/>
          <w:kern w:val="2"/>
          <w:sz w:val="32"/>
          <w:szCs w:val="22"/>
          <w:highlight w:val="none"/>
          <w:lang w:val="en-US" w:eastAsia="zh-CN" w:bidi="ar-SA"/>
        </w:rPr>
        <w:t>《关于下达202</w:t>
      </w:r>
      <w:r>
        <w:rPr>
          <w:rFonts w:hint="eastAsia" w:cs="Times New Roman" w:hAnsiTheme="minorHAnsi"/>
          <w:b w:val="0"/>
          <w:bCs w:val="0"/>
          <w:color w:val="auto"/>
          <w:kern w:val="2"/>
          <w:sz w:val="32"/>
          <w:szCs w:val="22"/>
          <w:highlight w:val="none"/>
          <w:lang w:val="en-US" w:eastAsia="zh-CN" w:bidi="ar-SA"/>
        </w:rPr>
        <w:t>4</w:t>
      </w:r>
      <w:r>
        <w:rPr>
          <w:rFonts w:hint="eastAsia" w:ascii="仿宋_GB2312" w:eastAsia="仿宋_GB2312" w:cs="Times New Roman" w:hAnsiTheme="minorHAnsi"/>
          <w:b w:val="0"/>
          <w:bCs w:val="0"/>
          <w:color w:val="auto"/>
          <w:kern w:val="2"/>
          <w:sz w:val="32"/>
          <w:szCs w:val="22"/>
          <w:highlight w:val="none"/>
          <w:lang w:val="en-US" w:eastAsia="zh-CN" w:bidi="ar-SA"/>
        </w:rPr>
        <w:t>年</w:t>
      </w:r>
      <w:r>
        <w:rPr>
          <w:rFonts w:hint="eastAsia" w:cs="Times New Roman" w:hAnsiTheme="minorHAnsi"/>
          <w:b w:val="0"/>
          <w:bCs w:val="0"/>
          <w:color w:val="auto"/>
          <w:kern w:val="2"/>
          <w:sz w:val="32"/>
          <w:szCs w:val="22"/>
          <w:highlight w:val="none"/>
          <w:lang w:val="en-US" w:eastAsia="zh-CN" w:bidi="ar-SA"/>
        </w:rPr>
        <w:t>第一批先进制造业发展专项资金</w:t>
      </w:r>
      <w:r>
        <w:rPr>
          <w:rFonts w:hint="eastAsia" w:ascii="仿宋_GB2312" w:eastAsia="仿宋_GB2312" w:cs="Times New Roman" w:hAnsiTheme="minorHAnsi"/>
          <w:b w:val="0"/>
          <w:bCs w:val="0"/>
          <w:color w:val="auto"/>
          <w:kern w:val="2"/>
          <w:sz w:val="32"/>
          <w:szCs w:val="22"/>
          <w:highlight w:val="none"/>
          <w:lang w:val="en-US" w:eastAsia="zh-CN" w:bidi="ar-SA"/>
        </w:rPr>
        <w:t>预算的通知》</w:t>
      </w:r>
      <w:r>
        <w:rPr>
          <w:rFonts w:hint="eastAsia" w:cs="Times New Roman" w:hAnsiTheme="minorHAnsi"/>
          <w:b w:val="0"/>
          <w:bCs w:val="0"/>
          <w:color w:val="auto"/>
          <w:kern w:val="2"/>
          <w:sz w:val="32"/>
          <w:szCs w:val="22"/>
          <w:highlight w:val="none"/>
          <w:lang w:val="en-US" w:eastAsia="zh-CN" w:bidi="ar-SA"/>
        </w:rPr>
        <w:t>（青财企指〔2024〕20号），将奖补资金1325万元全部拨付至</w:t>
      </w:r>
      <w:r>
        <w:rPr>
          <w:rFonts w:hint="eastAsia" w:cs="Times New Roman" w:hAnsiTheme="minorHAnsi"/>
          <w:b w:val="0"/>
          <w:bCs w:val="0"/>
          <w:kern w:val="2"/>
          <w:sz w:val="32"/>
          <w:szCs w:val="22"/>
          <w:highlight w:val="none"/>
          <w:lang w:val="en-US" w:eastAsia="zh-CN" w:bidi="ar-SA"/>
        </w:rPr>
        <w:t>企业所在的崂山区、西海岸新区等5个</w:t>
      </w:r>
      <w:r>
        <w:rPr>
          <w:rFonts w:hint="eastAsia" w:ascii="仿宋_GB2312" w:eastAsia="仿宋_GB2312" w:cs="Times New Roman" w:hAnsiTheme="minorHAnsi"/>
          <w:b w:val="0"/>
          <w:bCs w:val="0"/>
          <w:kern w:val="2"/>
          <w:sz w:val="32"/>
          <w:szCs w:val="22"/>
          <w:highlight w:val="none"/>
          <w:lang w:val="en-US" w:eastAsia="zh-CN" w:bidi="ar-SA"/>
        </w:rPr>
        <w:t>区</w:t>
      </w:r>
      <w:r>
        <w:rPr>
          <w:rFonts w:hint="eastAsia" w:cs="Times New Roman" w:hAnsiTheme="minorHAnsi"/>
          <w:b w:val="0"/>
          <w:bCs w:val="0"/>
          <w:kern w:val="2"/>
          <w:sz w:val="32"/>
          <w:szCs w:val="22"/>
          <w:highlight w:val="none"/>
          <w:lang w:val="en-US" w:eastAsia="zh-CN" w:bidi="ar-SA"/>
        </w:rPr>
        <w:t>财政局</w:t>
      </w:r>
      <w:r>
        <w:rPr>
          <w:rFonts w:hint="eastAsia" w:cs="Times New Roman" w:hAnsiTheme="minorHAnsi"/>
          <w:b w:val="0"/>
          <w:bCs w:val="0"/>
          <w:color w:val="auto"/>
          <w:kern w:val="2"/>
          <w:sz w:val="32"/>
          <w:szCs w:val="22"/>
          <w:highlight w:val="none"/>
          <w:lang w:val="en-US" w:eastAsia="zh-CN" w:bidi="ar-SA"/>
        </w:rPr>
        <w:t>。</w:t>
      </w:r>
    </w:p>
    <w:p>
      <w:pPr>
        <w:keepNext w:val="0"/>
        <w:keepLines w:val="0"/>
        <w:pageBreakBefore w:val="0"/>
        <w:widowControl w:val="0"/>
        <w:numPr>
          <w:ilvl w:val="0"/>
          <w:numId w:val="0"/>
        </w:numPr>
        <w:shd w:val="clear"/>
        <w:kinsoku/>
        <w:wordWrap/>
        <w:overflowPunct w:val="0"/>
        <w:topLinePunct w:val="0"/>
        <w:autoSpaceDE/>
        <w:autoSpaceDN/>
        <w:bidi w:val="0"/>
        <w:adjustRightInd/>
        <w:snapToGrid/>
        <w:spacing w:line="600" w:lineRule="exact"/>
        <w:ind w:firstLine="640" w:firstLineChars="200"/>
        <w:textAlignment w:val="auto"/>
        <w:rPr>
          <w:rFonts w:hint="eastAsia" w:cs="Times New Roman" w:hAnsiTheme="minorHAnsi"/>
          <w:b w:val="0"/>
          <w:bCs w:val="0"/>
          <w:color w:val="auto"/>
          <w:kern w:val="2"/>
          <w:sz w:val="32"/>
          <w:szCs w:val="22"/>
          <w:highlight w:val="none"/>
          <w:lang w:val="en-US" w:eastAsia="zh-CN" w:bidi="ar-SA"/>
        </w:rPr>
      </w:pPr>
      <w:r>
        <w:rPr>
          <w:rFonts w:hint="eastAsia" w:cs="Times New Roman" w:hAnsiTheme="minorHAnsi"/>
          <w:b w:val="0"/>
          <w:bCs w:val="0"/>
          <w:color w:val="auto"/>
          <w:kern w:val="2"/>
          <w:sz w:val="32"/>
          <w:szCs w:val="22"/>
          <w:highlight w:val="none"/>
          <w:lang w:val="en-US" w:eastAsia="zh-CN" w:bidi="ar-SA"/>
        </w:rPr>
        <w:t>截至评价日，区（市）奖补资金</w:t>
      </w:r>
      <w:r>
        <w:rPr>
          <w:rFonts w:hint="eastAsia" w:cs="Times New Roman" w:hAnsiTheme="minorHAnsi"/>
          <w:b w:val="0"/>
          <w:bCs w:val="0"/>
          <w:kern w:val="2"/>
          <w:sz w:val="32"/>
          <w:szCs w:val="22"/>
          <w:highlight w:val="none"/>
          <w:lang w:val="en-US" w:eastAsia="zh-CN" w:bidi="ar-SA"/>
        </w:rPr>
        <w:t>执行率仅为18.34%。其中，西海岸新区、高新区已全额拨付，崂山区、即墨区、市北区3个区均未将资金拨付至企业，9家企业（其中青岛信芯微电子科技股份有限公司获得两项奖补资金）中仅有2家收到奖补资金</w:t>
      </w:r>
      <w:r>
        <w:rPr>
          <w:rFonts w:hint="eastAsia" w:cs="Times New Roman" w:hAnsiTheme="minorHAnsi"/>
          <w:b w:val="0"/>
          <w:bCs w:val="0"/>
          <w:color w:val="auto"/>
          <w:kern w:val="2"/>
          <w:sz w:val="32"/>
          <w:szCs w:val="22"/>
          <w:highlight w:val="none"/>
          <w:lang w:val="en-US" w:eastAsia="zh-CN" w:bidi="ar-SA"/>
        </w:rPr>
        <w:t>。资金投入及到位情况如下表所示：</w:t>
      </w:r>
    </w:p>
    <w:p>
      <w:pPr>
        <w:pStyle w:val="6"/>
        <w:rPr>
          <w:rFonts w:hint="eastAsia" w:eastAsia="宋体"/>
          <w:color w:val="auto"/>
          <w:highlight w:val="none"/>
          <w:lang w:eastAsia="zh-CN"/>
        </w:rPr>
      </w:pPr>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3</w:t>
      </w:r>
      <w:r>
        <w:rPr>
          <w:color w:val="auto"/>
          <w:highlight w:val="none"/>
        </w:rPr>
        <w:fldChar w:fldCharType="end"/>
      </w:r>
      <w:r>
        <w:rPr>
          <w:rFonts w:hint="eastAsia"/>
          <w:color w:val="auto"/>
          <w:highlight w:val="none"/>
          <w:lang w:eastAsia="zh-CN"/>
        </w:rPr>
        <w:t xml:space="preserve"> 2024年度区财政局资金到位情况表</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单位：万元</w:t>
      </w:r>
    </w:p>
    <w:tbl>
      <w:tblPr>
        <w:tblStyle w:val="19"/>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5"/>
        <w:gridCol w:w="2011"/>
        <w:gridCol w:w="1934"/>
        <w:gridCol w:w="1934"/>
        <w:gridCol w:w="19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序号</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区</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到位金额</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支出金额</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支出率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崂山区</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875.00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西海岸新区</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200.00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200.00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即墨区</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152.00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市北区</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55.00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高新区</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43.00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43.00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6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合计</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1325.00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243.00</w:t>
            </w:r>
          </w:p>
        </w:tc>
        <w:tc>
          <w:tcPr>
            <w:tcW w:w="11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shd w:val="clear"/>
              <w:kinsoku/>
              <w:wordWrap/>
              <w:overflowPunct/>
              <w:topLinePunct w:val="0"/>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18.34%</w:t>
            </w:r>
          </w:p>
        </w:tc>
      </w:tr>
    </w:tbl>
    <w:p>
      <w:pPr>
        <w:pStyle w:val="6"/>
        <w:keepNext/>
        <w:keepLines w:val="0"/>
        <w:pageBreakBefore w:val="0"/>
        <w:widowControl w:val="0"/>
        <w:kinsoku/>
        <w:wordWrap/>
        <w:overflowPunct/>
        <w:topLinePunct w:val="0"/>
        <w:autoSpaceDE/>
        <w:autoSpaceDN/>
        <w:bidi w:val="0"/>
        <w:adjustRightInd/>
        <w:textAlignment w:val="auto"/>
        <w:rPr>
          <w:rFonts w:hint="eastAsia" w:eastAsia="宋体"/>
          <w:color w:val="auto"/>
          <w:highlight w:val="none"/>
          <w:lang w:eastAsia="zh-CN"/>
        </w:rPr>
      </w:pPr>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eastAsia="zh-CN"/>
        </w:rPr>
        <w:t xml:space="preserve"> 2024年度奖补企业资金到位情况表</w:t>
      </w:r>
    </w:p>
    <w:p>
      <w:pPr>
        <w:keepNext/>
        <w:keepLines w:val="0"/>
        <w:pageBreakBefore w:val="0"/>
        <w:widowControl w:val="0"/>
        <w:kinsoku/>
        <w:wordWrap/>
        <w:overflowPunct/>
        <w:topLinePunct w:val="0"/>
        <w:autoSpaceDE/>
        <w:autoSpaceDN/>
        <w:bidi w:val="0"/>
        <w:adjustRightInd/>
        <w:spacing w:line="240" w:lineRule="auto"/>
        <w:ind w:firstLine="0" w:firstLineChars="0"/>
        <w:jc w:val="right"/>
        <w:textAlignment w:val="auto"/>
        <w:rPr>
          <w:rFonts w:hint="default" w:eastAsia="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单位：万元</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2148"/>
        <w:gridCol w:w="2256"/>
        <w:gridCol w:w="1308"/>
        <w:gridCol w:w="1080"/>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740" w:type="dxa"/>
            <w:shd w:val="clear" w:color="auto" w:fill="auto"/>
            <w:vAlign w:val="center"/>
          </w:tcPr>
          <w:p>
            <w:pPr>
              <w:keepNext/>
              <w:keepLines w:val="0"/>
              <w:pageBreakBefore w:val="0"/>
              <w:widowControl w:val="0"/>
              <w:suppressLineNumbers w:val="0"/>
              <w:shd w:val="clear"/>
              <w:kinsoku/>
              <w:wordWrap/>
              <w:overflowPunct/>
              <w:topLinePunct w:val="0"/>
              <w:autoSpaceDE/>
              <w:autoSpaceDN/>
              <w:bidi w:val="0"/>
              <w:adjustRightInd/>
              <w:snapToGrid w:val="0"/>
              <w:spacing w:before="0" w:beforeAutospacing="0" w:after="0" w:afterLines="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序号</w:t>
            </w:r>
          </w:p>
        </w:tc>
        <w:tc>
          <w:tcPr>
            <w:tcW w:w="2148" w:type="dxa"/>
            <w:shd w:val="clear" w:color="auto" w:fill="auto"/>
            <w:vAlign w:val="center"/>
          </w:tcPr>
          <w:p>
            <w:pPr>
              <w:keepNext/>
              <w:keepLines w:val="0"/>
              <w:pageBreakBefore w:val="0"/>
              <w:widowControl w:val="0"/>
              <w:suppressLineNumbers w:val="0"/>
              <w:shd w:val="clear"/>
              <w:kinsoku/>
              <w:wordWrap/>
              <w:overflowPunct/>
              <w:topLinePunct w:val="0"/>
              <w:autoSpaceDE/>
              <w:autoSpaceDN/>
              <w:bidi w:val="0"/>
              <w:adjustRightInd/>
              <w:snapToGrid w:val="0"/>
              <w:spacing w:before="0" w:beforeAutospacing="0" w:after="0" w:afterLines="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项目名称</w:t>
            </w:r>
          </w:p>
        </w:tc>
        <w:tc>
          <w:tcPr>
            <w:tcW w:w="2256" w:type="dxa"/>
            <w:shd w:val="clear" w:color="auto" w:fill="auto"/>
            <w:vAlign w:val="center"/>
          </w:tcPr>
          <w:p>
            <w:pPr>
              <w:keepNext/>
              <w:keepLines w:val="0"/>
              <w:pageBreakBefore w:val="0"/>
              <w:widowControl w:val="0"/>
              <w:suppressLineNumbers w:val="0"/>
              <w:shd w:val="clear"/>
              <w:kinsoku/>
              <w:wordWrap/>
              <w:overflowPunct/>
              <w:topLinePunct w:val="0"/>
              <w:autoSpaceDE/>
              <w:autoSpaceDN/>
              <w:bidi w:val="0"/>
              <w:adjustRightInd/>
              <w:snapToGrid w:val="0"/>
              <w:spacing w:before="0" w:beforeAutospacing="0" w:after="0" w:afterLines="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企业名称</w:t>
            </w:r>
          </w:p>
        </w:tc>
        <w:tc>
          <w:tcPr>
            <w:tcW w:w="1308" w:type="dxa"/>
            <w:shd w:val="clear" w:color="auto" w:fill="auto"/>
            <w:vAlign w:val="center"/>
          </w:tcPr>
          <w:p>
            <w:pPr>
              <w:keepNext/>
              <w:keepLines w:val="0"/>
              <w:pageBreakBefore w:val="0"/>
              <w:widowControl w:val="0"/>
              <w:suppressLineNumbers w:val="0"/>
              <w:shd w:val="clear"/>
              <w:kinsoku/>
              <w:wordWrap/>
              <w:overflowPunct/>
              <w:topLinePunct w:val="0"/>
              <w:autoSpaceDE/>
              <w:autoSpaceDN/>
              <w:bidi w:val="0"/>
              <w:adjustRightInd/>
              <w:snapToGrid w:val="0"/>
              <w:spacing w:before="0" w:beforeAutospacing="0" w:after="0" w:afterLines="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所在区市</w:t>
            </w:r>
          </w:p>
        </w:tc>
        <w:tc>
          <w:tcPr>
            <w:tcW w:w="1080" w:type="dxa"/>
            <w:shd w:val="clear" w:color="auto" w:fill="auto"/>
            <w:vAlign w:val="center"/>
          </w:tcPr>
          <w:p>
            <w:pPr>
              <w:keepNext/>
              <w:keepLines w:val="0"/>
              <w:pageBreakBefore w:val="0"/>
              <w:widowControl w:val="0"/>
              <w:suppressLineNumbers w:val="0"/>
              <w:shd w:val="clear"/>
              <w:kinsoku/>
              <w:wordWrap/>
              <w:overflowPunct/>
              <w:topLinePunct w:val="0"/>
              <w:autoSpaceDE/>
              <w:autoSpaceDN/>
              <w:bidi w:val="0"/>
              <w:adjustRightInd/>
              <w:snapToGrid w:val="0"/>
              <w:spacing w:before="0" w:beforeAutospacing="0" w:after="0" w:afterLines="0" w:afterAutospacing="0" w:line="240" w:lineRule="auto"/>
              <w:ind w:left="0" w:leftChars="0" w:right="0" w:firstLine="0" w:firstLineChars="0"/>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应奖补</w:t>
            </w:r>
          </w:p>
          <w:p>
            <w:pPr>
              <w:keepNext/>
              <w:keepLines w:val="0"/>
              <w:pageBreakBefore w:val="0"/>
              <w:widowControl w:val="0"/>
              <w:suppressLineNumbers w:val="0"/>
              <w:shd w:val="clear"/>
              <w:kinsoku/>
              <w:wordWrap/>
              <w:overflowPunct/>
              <w:topLinePunct w:val="0"/>
              <w:autoSpaceDE/>
              <w:autoSpaceDN/>
              <w:bidi w:val="0"/>
              <w:adjustRightInd/>
              <w:snapToGrid w:val="0"/>
              <w:spacing w:before="0" w:beforeAutospacing="0" w:after="0" w:afterLines="0" w:afterAutospacing="0" w:line="240" w:lineRule="auto"/>
              <w:ind w:left="0" w:leftChars="0" w:right="0" w:firstLine="0" w:firstLineChars="0"/>
              <w:jc w:val="center"/>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资金</w:t>
            </w:r>
          </w:p>
        </w:tc>
        <w:tc>
          <w:tcPr>
            <w:tcW w:w="989" w:type="dxa"/>
            <w:shd w:val="clear" w:color="auto" w:fill="auto"/>
            <w:vAlign w:val="center"/>
          </w:tcPr>
          <w:p>
            <w:pPr>
              <w:pStyle w:val="25"/>
              <w:keepNext/>
              <w:keepLines w:val="0"/>
              <w:pageBreakBefore w:val="0"/>
              <w:widowControl w:val="0"/>
              <w:kinsoku/>
              <w:wordWrap/>
              <w:overflowPunct/>
              <w:topLinePunct w:val="0"/>
              <w:autoSpaceDE/>
              <w:autoSpaceDN/>
              <w:bidi w:val="0"/>
              <w:adjustRightInd/>
              <w:spacing w:afterLines="0" w:line="240" w:lineRule="auto"/>
              <w:ind w:firstLine="0" w:firstLineChars="0"/>
              <w:jc w:val="center"/>
              <w:textAlignment w:val="auto"/>
              <w:rPr>
                <w:rFonts w:hint="eastAsia" w:ascii="宋体" w:hAnsi="宋体" w:eastAsia="宋体" w:cs="宋体"/>
                <w:b/>
                <w:bCs/>
                <w:color w:val="auto"/>
                <w:sz w:val="24"/>
                <w:szCs w:val="24"/>
                <w:highlight w:val="none"/>
                <w:lang w:val="en-US" w:eastAsia="zh-CN"/>
              </w:rPr>
            </w:pPr>
            <w:bookmarkStart w:id="10" w:name="_Toc2229"/>
            <w:bookmarkStart w:id="11" w:name="_Toc22534"/>
            <w:bookmarkStart w:id="12" w:name="_Toc18745"/>
            <w:bookmarkStart w:id="13" w:name="_Toc7596"/>
            <w:bookmarkStart w:id="14" w:name="_Toc31171"/>
            <w:bookmarkStart w:id="15" w:name="_Toc19306"/>
            <w:bookmarkStart w:id="16" w:name="_Toc8597"/>
            <w:bookmarkStart w:id="17" w:name="_Toc16160"/>
            <w:bookmarkStart w:id="18" w:name="_Toc22562"/>
            <w:bookmarkStart w:id="19" w:name="_Toc23299"/>
            <w:r>
              <w:rPr>
                <w:rFonts w:hint="eastAsia" w:ascii="宋体" w:hAnsi="宋体" w:eastAsia="宋体" w:cs="宋体"/>
                <w:b/>
                <w:bCs/>
                <w:color w:val="auto"/>
                <w:sz w:val="24"/>
                <w:szCs w:val="24"/>
                <w:highlight w:val="none"/>
                <w:lang w:val="en-US" w:eastAsia="zh-CN"/>
              </w:rPr>
              <w:t>到位</w:t>
            </w:r>
            <w:bookmarkEnd w:id="10"/>
            <w:bookmarkEnd w:id="11"/>
            <w:bookmarkEnd w:id="12"/>
            <w:bookmarkEnd w:id="13"/>
            <w:bookmarkEnd w:id="14"/>
            <w:bookmarkEnd w:id="15"/>
            <w:bookmarkEnd w:id="16"/>
          </w:p>
          <w:p>
            <w:pPr>
              <w:pStyle w:val="25"/>
              <w:keepNext/>
              <w:keepLines w:val="0"/>
              <w:pageBreakBefore w:val="0"/>
              <w:widowControl w:val="0"/>
              <w:kinsoku/>
              <w:wordWrap/>
              <w:overflowPunct/>
              <w:topLinePunct w:val="0"/>
              <w:autoSpaceDE/>
              <w:autoSpaceDN/>
              <w:bidi w:val="0"/>
              <w:adjustRightInd/>
              <w:spacing w:afterLines="0" w:line="240" w:lineRule="auto"/>
              <w:ind w:firstLine="0" w:firstLineChars="0"/>
              <w:jc w:val="center"/>
              <w:textAlignment w:val="auto"/>
              <w:rPr>
                <w:rFonts w:hint="eastAsia" w:ascii="宋体" w:hAnsi="宋体" w:eastAsia="宋体" w:cs="宋体"/>
                <w:b/>
                <w:bCs/>
                <w:color w:val="auto"/>
                <w:sz w:val="24"/>
                <w:szCs w:val="24"/>
                <w:highlight w:val="none"/>
                <w:lang w:val="en-US" w:eastAsia="zh-CN"/>
              </w:rPr>
            </w:pPr>
            <w:bookmarkStart w:id="20" w:name="_Toc24202"/>
            <w:bookmarkStart w:id="21" w:name="_Toc20228"/>
            <w:bookmarkStart w:id="22" w:name="_Toc29619"/>
            <w:bookmarkStart w:id="23" w:name="_Toc18973"/>
            <w:bookmarkStart w:id="24" w:name="_Toc30005"/>
            <w:bookmarkStart w:id="25" w:name="_Toc6710"/>
            <w:bookmarkStart w:id="26" w:name="_Toc23453"/>
            <w:r>
              <w:rPr>
                <w:rFonts w:hint="eastAsia" w:ascii="宋体" w:hAnsi="宋体" w:eastAsia="宋体" w:cs="宋体"/>
                <w:b/>
                <w:bCs/>
                <w:color w:val="auto"/>
                <w:sz w:val="24"/>
                <w:szCs w:val="24"/>
                <w:highlight w:val="none"/>
                <w:lang w:val="en-US" w:eastAsia="zh-CN"/>
              </w:rPr>
              <w:t>金额</w:t>
            </w:r>
            <w:bookmarkEnd w:id="17"/>
            <w:bookmarkEnd w:id="18"/>
            <w:bookmarkEnd w:id="19"/>
            <w:bookmarkEnd w:id="20"/>
            <w:bookmarkEnd w:id="21"/>
            <w:bookmarkEnd w:id="22"/>
            <w:bookmarkEnd w:id="23"/>
            <w:bookmarkEnd w:id="24"/>
            <w:bookmarkEnd w:id="25"/>
            <w:bookmark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1</w:t>
            </w:r>
          </w:p>
        </w:tc>
        <w:tc>
          <w:tcPr>
            <w:tcW w:w="2148" w:type="dxa"/>
            <w:vMerge w:val="restart"/>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集成电路设计企业EDA补助资金项目</w:t>
            </w: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青岛信芯微电子科技股份有限公司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崂山区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lang w:val="en-US" w:eastAsia="zh-CN"/>
              </w:rPr>
              <w:t>130.00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w:t>
            </w:r>
          </w:p>
        </w:tc>
        <w:tc>
          <w:tcPr>
            <w:tcW w:w="2148" w:type="dxa"/>
            <w:vMerge w:val="continue"/>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宸芯科技股份有限公司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西海岸</w:t>
            </w:r>
          </w:p>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新区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lang w:val="en-US" w:eastAsia="zh-CN"/>
              </w:rPr>
              <w:t>200.00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3</w:t>
            </w:r>
          </w:p>
        </w:tc>
        <w:tc>
          <w:tcPr>
            <w:tcW w:w="2148" w:type="dxa"/>
            <w:vMerge w:val="restart"/>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集成电路设计企业IP补助资金项目</w:t>
            </w: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青岛东软载波科技股份有限公司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市北区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lang w:val="en-US" w:eastAsia="zh-CN"/>
              </w:rPr>
              <w:t>55.00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4</w:t>
            </w:r>
          </w:p>
        </w:tc>
        <w:tc>
          <w:tcPr>
            <w:tcW w:w="2148" w:type="dxa"/>
            <w:vMerge w:val="continue"/>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青岛富芮坤微电子科技有限公司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崂山区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lang w:val="en-US" w:eastAsia="zh-CN"/>
              </w:rPr>
              <w:t>134.00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5</w:t>
            </w:r>
          </w:p>
        </w:tc>
        <w:tc>
          <w:tcPr>
            <w:tcW w:w="2148" w:type="dxa"/>
            <w:vMerge w:val="restart"/>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集成电路设计企业工程流片补助资金项目</w:t>
            </w: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垣矽技术（青岛）有限公司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崂山区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lang w:val="en-US" w:eastAsia="zh-CN"/>
              </w:rPr>
              <w:t>87.00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6</w:t>
            </w:r>
          </w:p>
        </w:tc>
        <w:tc>
          <w:tcPr>
            <w:tcW w:w="2148" w:type="dxa"/>
            <w:vMerge w:val="continue"/>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青岛晶英电子科技有限公司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高新区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lang w:val="en-US" w:eastAsia="zh-CN"/>
              </w:rPr>
              <w:t>43.00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7</w:t>
            </w:r>
          </w:p>
        </w:tc>
        <w:tc>
          <w:tcPr>
            <w:tcW w:w="2148" w:type="dxa"/>
            <w:vMerge w:val="restart"/>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自主设计芯片奖补资金项目</w:t>
            </w: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核芯互联科技（青岛）有限公司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崂山区</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2"/>
                <w:sz w:val="24"/>
                <w:szCs w:val="24"/>
                <w:highlight w:val="none"/>
                <w:lang w:val="en-US" w:eastAsia="zh-CN" w:bidi="ar-SA"/>
              </w:rPr>
              <w:t>118</w:t>
            </w:r>
            <w:r>
              <w:rPr>
                <w:rFonts w:hint="eastAsia" w:ascii="宋体" w:hAnsi="宋体" w:eastAsia="宋体" w:cs="宋体"/>
                <w:color w:val="auto"/>
                <w:sz w:val="24"/>
                <w:szCs w:val="24"/>
                <w:highlight w:val="none"/>
                <w:lang w:val="en-US" w:eastAsia="zh-CN"/>
              </w:rPr>
              <w:t>.00</w:t>
            </w:r>
          </w:p>
        </w:tc>
        <w:tc>
          <w:tcPr>
            <w:tcW w:w="989" w:type="dxa"/>
            <w:vAlign w:val="center"/>
          </w:tcPr>
          <w:p>
            <w:pPr>
              <w:keepNext w:val="0"/>
              <w:keepLines w:val="0"/>
              <w:pageBreakBefore w:val="0"/>
              <w:widowControl w:val="0"/>
              <w:kinsoku/>
              <w:wordWrap/>
              <w:overflowPunct/>
              <w:topLinePunct w:val="0"/>
              <w:autoSpaceDE/>
              <w:autoSpaceDN/>
              <w:bidi w:val="0"/>
              <w:adjustRightInd/>
              <w:snapToGrid/>
              <w:spacing w:afterLines="0" w:line="240" w:lineRule="auto"/>
              <w:ind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8</w:t>
            </w:r>
          </w:p>
        </w:tc>
        <w:tc>
          <w:tcPr>
            <w:tcW w:w="2148" w:type="dxa"/>
            <w:vMerge w:val="continue"/>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青岛本原微电子有限公司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即墨区</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2"/>
                <w:sz w:val="24"/>
                <w:szCs w:val="24"/>
                <w:highlight w:val="none"/>
                <w:lang w:val="en-US" w:eastAsia="zh-CN" w:bidi="ar-SA"/>
              </w:rPr>
              <w:t>152.00</w:t>
            </w:r>
          </w:p>
        </w:tc>
        <w:tc>
          <w:tcPr>
            <w:tcW w:w="989" w:type="dxa"/>
            <w:vAlign w:val="center"/>
          </w:tcPr>
          <w:p>
            <w:pPr>
              <w:keepNext w:val="0"/>
              <w:keepLines w:val="0"/>
              <w:pageBreakBefore w:val="0"/>
              <w:widowControl w:val="0"/>
              <w:kinsoku/>
              <w:wordWrap/>
              <w:overflowPunct/>
              <w:topLinePunct w:val="0"/>
              <w:autoSpaceDE/>
              <w:autoSpaceDN/>
              <w:bidi w:val="0"/>
              <w:adjustRightInd/>
              <w:snapToGrid/>
              <w:spacing w:afterLines="0" w:line="240" w:lineRule="auto"/>
              <w:ind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9</w:t>
            </w:r>
          </w:p>
        </w:tc>
        <w:tc>
          <w:tcPr>
            <w:tcW w:w="214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集成电路公共服务平台奖补资金项目</w:t>
            </w: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中科芯云微电子科技有限公司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崂山区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2"/>
                <w:sz w:val="24"/>
                <w:szCs w:val="24"/>
                <w:highlight w:val="none"/>
                <w:lang w:val="en-US" w:eastAsia="zh-CN" w:bidi="ar-SA"/>
              </w:rPr>
              <w:t>106</w:t>
            </w:r>
            <w:r>
              <w:rPr>
                <w:rFonts w:hint="eastAsia" w:ascii="宋体" w:hAnsi="宋体" w:eastAsia="宋体" w:cs="宋体"/>
                <w:color w:val="auto"/>
                <w:sz w:val="24"/>
                <w:szCs w:val="24"/>
                <w:highlight w:val="none"/>
                <w:lang w:val="en-US" w:eastAsia="zh-CN"/>
              </w:rPr>
              <w:t>.00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10</w:t>
            </w:r>
          </w:p>
        </w:tc>
        <w:tc>
          <w:tcPr>
            <w:tcW w:w="214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集成电路企业上规模奖励资金项目</w:t>
            </w:r>
          </w:p>
        </w:tc>
        <w:tc>
          <w:tcPr>
            <w:tcW w:w="2256"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青岛信芯微电子科技股份有限公司</w:t>
            </w:r>
          </w:p>
        </w:tc>
        <w:tc>
          <w:tcPr>
            <w:tcW w:w="1308" w:type="dxa"/>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崂山区</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2"/>
                <w:sz w:val="24"/>
                <w:szCs w:val="24"/>
                <w:highlight w:val="none"/>
                <w:lang w:val="en-US" w:eastAsia="zh-CN" w:bidi="ar-SA"/>
              </w:rPr>
              <w:t>300</w:t>
            </w:r>
            <w:r>
              <w:rPr>
                <w:rFonts w:hint="eastAsia" w:ascii="宋体" w:hAnsi="宋体" w:eastAsia="宋体" w:cs="宋体"/>
                <w:color w:val="auto"/>
                <w:sz w:val="24"/>
                <w:szCs w:val="24"/>
                <w:highlight w:val="none"/>
                <w:lang w:val="en-US" w:eastAsia="zh-CN"/>
              </w:rPr>
              <w:t>.00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452" w:type="dxa"/>
            <w:gridSpan w:val="4"/>
            <w:vAlign w:val="center"/>
          </w:tcPr>
          <w:p>
            <w:pPr>
              <w:pStyle w:val="8"/>
              <w:keepNext w:val="0"/>
              <w:keepLines w:val="0"/>
              <w:pageBreakBefore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合计</w:t>
            </w:r>
          </w:p>
        </w:tc>
        <w:tc>
          <w:tcPr>
            <w:tcW w:w="1080"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kern w:val="2"/>
                <w:sz w:val="24"/>
                <w:szCs w:val="24"/>
                <w:highlight w:val="none"/>
                <w:lang w:val="en-US" w:eastAsia="zh-CN" w:bidi="ar-SA"/>
              </w:rPr>
              <w:t>1325.00</w:t>
            </w:r>
          </w:p>
        </w:tc>
        <w:tc>
          <w:tcPr>
            <w:tcW w:w="989" w:type="dxa"/>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ind w:firstLine="0" w:firstLineChars="0"/>
              <w:jc w:val="center"/>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243.00</w:t>
            </w:r>
          </w:p>
        </w:tc>
      </w:tr>
    </w:tbl>
    <w:p>
      <w:pPr>
        <w:pStyle w:val="3"/>
        <w:bidi w:val="0"/>
        <w:rPr>
          <w:color w:val="auto"/>
          <w:highlight w:val="none"/>
        </w:rPr>
      </w:pPr>
      <w:bookmarkStart w:id="27" w:name="_Toc25197"/>
      <w:bookmarkStart w:id="28" w:name="_Toc1680"/>
      <w:bookmarkStart w:id="29" w:name="_Toc25386"/>
      <w:bookmarkStart w:id="30" w:name="_Toc21326"/>
      <w:bookmarkStart w:id="31" w:name="_Toc3324"/>
      <w:r>
        <w:rPr>
          <w:rFonts w:hint="eastAsia"/>
          <w:color w:val="auto"/>
          <w:highlight w:val="none"/>
        </w:rPr>
        <w:t>（二）</w:t>
      </w:r>
      <w:r>
        <w:rPr>
          <w:rFonts w:hint="eastAsia"/>
          <w:color w:val="auto"/>
          <w:highlight w:val="none"/>
          <w:lang w:eastAsia="zh-CN"/>
        </w:rPr>
        <w:t>政策</w:t>
      </w:r>
      <w:r>
        <w:rPr>
          <w:rFonts w:hint="eastAsia"/>
          <w:color w:val="auto"/>
          <w:highlight w:val="none"/>
        </w:rPr>
        <w:t>绩效目标</w:t>
      </w:r>
      <w:bookmarkEnd w:id="27"/>
      <w:bookmarkEnd w:id="28"/>
      <w:bookmarkEnd w:id="29"/>
      <w:bookmarkEnd w:id="30"/>
      <w:bookmarkEnd w:id="31"/>
    </w:p>
    <w:p>
      <w:p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sz w:val="32"/>
          <w:szCs w:val="40"/>
          <w:highlight w:val="none"/>
        </w:rPr>
        <w:t>1.</w:t>
      </w:r>
      <w:r>
        <w:rPr>
          <w:rFonts w:hint="default" w:ascii="仿宋_GB2312" w:hAnsi="仿宋_GB2312" w:eastAsia="仿宋_GB2312" w:cs="仿宋_GB2312"/>
          <w:b/>
          <w:bCs/>
          <w:color w:val="auto"/>
          <w:sz w:val="32"/>
          <w:szCs w:val="40"/>
          <w:highlight w:val="none"/>
          <w:lang w:val="en-US"/>
        </w:rPr>
        <w:t>总体</w:t>
      </w:r>
      <w:r>
        <w:rPr>
          <w:rFonts w:hint="eastAsia" w:ascii="仿宋_GB2312" w:hAnsi="仿宋_GB2312" w:eastAsia="仿宋_GB2312" w:cs="仿宋_GB2312"/>
          <w:b/>
          <w:bCs/>
          <w:color w:val="auto"/>
          <w:sz w:val="32"/>
          <w:szCs w:val="40"/>
          <w:highlight w:val="none"/>
        </w:rPr>
        <w:t>目标</w:t>
      </w:r>
    </w:p>
    <w:p>
      <w:pPr>
        <w:spacing w:line="600" w:lineRule="exact"/>
        <w:ind w:firstLine="640" w:firstLineChars="200"/>
        <w:rPr>
          <w:rFonts w:hint="eastAsia" w:ascii="仿宋_GB2312" w:hAnsi="仿宋_GB2312" w:eastAsia="仿宋_GB2312" w:cs="仿宋_GB2312"/>
          <w:color w:val="auto"/>
          <w:sz w:val="32"/>
          <w:szCs w:val="40"/>
          <w:highlight w:val="none"/>
          <w:lang w:eastAsia="zh-CN"/>
        </w:rPr>
      </w:pPr>
      <w:r>
        <w:rPr>
          <w:rFonts w:hint="eastAsia" w:cs="仿宋_GB2312"/>
          <w:color w:val="auto"/>
          <w:szCs w:val="40"/>
          <w:highlight w:val="none"/>
        </w:rPr>
        <w:t>以崂山区</w:t>
      </w:r>
      <w:r>
        <w:rPr>
          <w:rFonts w:hint="eastAsia" w:cs="仿宋_GB2312"/>
          <w:color w:val="auto"/>
          <w:szCs w:val="40"/>
          <w:highlight w:val="none"/>
          <w:lang w:eastAsia="zh-CN"/>
        </w:rPr>
        <w:t>（</w:t>
      </w:r>
      <w:r>
        <w:rPr>
          <w:rFonts w:hint="eastAsia" w:cs="仿宋_GB2312"/>
          <w:color w:val="auto"/>
          <w:szCs w:val="40"/>
          <w:highlight w:val="none"/>
        </w:rPr>
        <w:t>设计</w:t>
      </w:r>
      <w:r>
        <w:rPr>
          <w:rFonts w:hint="eastAsia" w:cs="仿宋_GB2312"/>
          <w:color w:val="auto"/>
          <w:szCs w:val="40"/>
          <w:highlight w:val="none"/>
          <w:lang w:eastAsia="zh-CN"/>
        </w:rPr>
        <w:t>）</w:t>
      </w:r>
      <w:r>
        <w:rPr>
          <w:rFonts w:hint="eastAsia" w:cs="仿宋_GB2312"/>
          <w:color w:val="auto"/>
          <w:szCs w:val="40"/>
          <w:highlight w:val="none"/>
        </w:rPr>
        <w:t>、西海岸新区（设计+制造+封测）、即墨区（制造+封测）为核心，带动城阳区（材料+设备）、莱西市（材料）等</w:t>
      </w:r>
      <w:r>
        <w:rPr>
          <w:rFonts w:hint="eastAsia" w:cs="仿宋_GB2312"/>
          <w:color w:val="auto"/>
          <w:szCs w:val="40"/>
          <w:highlight w:val="none"/>
          <w:lang w:eastAsia="zh-CN"/>
        </w:rPr>
        <w:t>区</w:t>
      </w:r>
      <w:r>
        <w:rPr>
          <w:rFonts w:hint="eastAsia" w:cs="仿宋_GB2312"/>
          <w:color w:val="auto"/>
          <w:szCs w:val="40"/>
          <w:highlight w:val="none"/>
        </w:rPr>
        <w:t>协同发展。依托“青岛芯谷”、中德生态园集成电路制造基地等重点园区/基地，构建涵盖设计、制造、封测、材料、设备各环节的产业链体系，打造中国北方重要的特色集成电路产业高地</w:t>
      </w:r>
      <w:r>
        <w:rPr>
          <w:rFonts w:hint="eastAsia" w:cs="仿宋_GB2312"/>
          <w:color w:val="auto"/>
          <w:szCs w:val="40"/>
          <w:highlight w:val="none"/>
          <w:lang w:eastAsia="zh-CN"/>
        </w:rPr>
        <w:t>。</w:t>
      </w:r>
    </w:p>
    <w:p>
      <w:p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sz w:val="32"/>
          <w:szCs w:val="40"/>
          <w:highlight w:val="none"/>
        </w:rPr>
        <w:t>2.年度目标</w:t>
      </w:r>
    </w:p>
    <w:p>
      <w:pPr>
        <w:autoSpaceDE/>
        <w:autoSpaceDN/>
        <w:ind w:firstLine="0"/>
        <w:jc w:val="left"/>
        <w:rPr>
          <w:rFonts w:hint="default"/>
          <w:color w:val="auto"/>
          <w:highlight w:val="none"/>
          <w:lang w:val="en-US" w:eastAsia="zh-CN"/>
        </w:rPr>
      </w:pPr>
      <w:r>
        <w:rPr>
          <w:rFonts w:hint="eastAsia"/>
          <w:color w:val="auto"/>
          <w:highlight w:val="none"/>
          <w:lang w:val="en-US" w:eastAsia="zh-CN"/>
        </w:rPr>
        <w:t>依据市工业和信息化局提供的《支持集成电路产业发展资金项目支出绩效目标表》，该政策年度目标为：</w:t>
      </w:r>
    </w:p>
    <w:p>
      <w:pPr>
        <w:autoSpaceDE/>
        <w:autoSpaceDN/>
        <w:ind w:firstLine="0"/>
        <w:jc w:val="left"/>
        <w:rPr>
          <w:rFonts w:hint="default"/>
          <w:color w:val="auto"/>
          <w:highlight w:val="none"/>
          <w:lang w:val="en-US" w:eastAsia="zh-CN"/>
        </w:rPr>
      </w:pPr>
      <w:r>
        <w:rPr>
          <w:rFonts w:hint="eastAsia"/>
          <w:color w:val="auto"/>
          <w:highlight w:val="none"/>
          <w:lang w:val="en-US" w:eastAsia="zh-CN"/>
        </w:rPr>
        <w:t>（1）经济成本指标：</w:t>
      </w:r>
      <w:r>
        <w:rPr>
          <w:rFonts w:hint="default"/>
          <w:color w:val="auto"/>
          <w:highlight w:val="none"/>
          <w:lang w:val="en-US" w:eastAsia="zh-CN"/>
        </w:rPr>
        <w:t>奖补资金额度≤1325万元。</w:t>
      </w:r>
    </w:p>
    <w:p>
      <w:pPr>
        <w:autoSpaceDE/>
        <w:autoSpaceDN/>
        <w:ind w:firstLine="0"/>
        <w:jc w:val="left"/>
        <w:rPr>
          <w:rFonts w:hint="eastAsia"/>
          <w:color w:val="auto"/>
          <w:highlight w:val="none"/>
          <w:lang w:val="en-US" w:eastAsia="zh-CN"/>
        </w:rPr>
      </w:pPr>
      <w:r>
        <w:rPr>
          <w:rFonts w:hint="eastAsia"/>
          <w:color w:val="auto"/>
          <w:highlight w:val="none"/>
          <w:lang w:val="en-US" w:eastAsia="zh-CN"/>
        </w:rPr>
        <w:t>（2）产出数量指标：奖励企业数量=9家，采购EDA软件数量≥2个，采购IP数量≥2个，MPW工程流片数量≥2个，自主研发设计芯片产品数量≥2款，平台服务企业数量≥5家。</w:t>
      </w:r>
    </w:p>
    <w:p>
      <w:pPr>
        <w:autoSpaceDE/>
        <w:autoSpaceDN/>
        <w:ind w:firstLine="0"/>
        <w:jc w:val="left"/>
        <w:rPr>
          <w:rFonts w:hint="eastAsia"/>
          <w:color w:val="auto"/>
          <w:highlight w:val="none"/>
          <w:lang w:val="en-US" w:eastAsia="zh-CN"/>
        </w:rPr>
      </w:pPr>
      <w:r>
        <w:rPr>
          <w:rFonts w:hint="eastAsia"/>
          <w:color w:val="auto"/>
          <w:highlight w:val="none"/>
          <w:lang w:val="en-US" w:eastAsia="zh-CN"/>
        </w:rPr>
        <w:t>（3）产出质量指标：</w:t>
      </w:r>
      <w:r>
        <w:rPr>
          <w:rFonts w:hint="eastAsia"/>
          <w:color w:val="auto"/>
          <w:highlight w:val="none"/>
          <w:lang w:val="en-US" w:eastAsia="zh"/>
        </w:rPr>
        <w:t>资金使用合规性</w:t>
      </w:r>
      <w:r>
        <w:rPr>
          <w:rFonts w:hint="eastAsia"/>
          <w:color w:val="auto"/>
          <w:highlight w:val="none"/>
          <w:lang w:val="en-US" w:eastAsia="zh-CN"/>
        </w:rPr>
        <w:t>=100%，奖励企业政策符合度=100%</w:t>
      </w:r>
      <w:r>
        <w:rPr>
          <w:rFonts w:hint="default"/>
          <w:color w:val="auto"/>
          <w:highlight w:val="none"/>
          <w:lang w:val="en-US" w:eastAsia="zh-CN"/>
        </w:rPr>
        <w:t>。</w:t>
      </w:r>
    </w:p>
    <w:p>
      <w:pPr>
        <w:jc w:val="both"/>
        <w:rPr>
          <w:rFonts w:hint="eastAsia"/>
          <w:color w:val="auto"/>
          <w:highlight w:val="none"/>
          <w:lang w:val="en-US" w:eastAsia="zh-CN"/>
        </w:rPr>
      </w:pPr>
      <w:r>
        <w:rPr>
          <w:rFonts w:hint="eastAsia"/>
          <w:color w:val="auto"/>
          <w:highlight w:val="none"/>
          <w:lang w:val="en-US" w:eastAsia="zh-CN"/>
        </w:rPr>
        <w:t>（4）产出时效指标：</w:t>
      </w:r>
      <w:r>
        <w:rPr>
          <w:rFonts w:hint="eastAsia"/>
          <w:color w:val="auto"/>
          <w:highlight w:val="none"/>
          <w:lang w:val="en-US" w:eastAsia="zh"/>
        </w:rPr>
        <w:t>奖补资金发放时间≤10月份</w:t>
      </w:r>
      <w:r>
        <w:rPr>
          <w:rFonts w:hint="default"/>
          <w:color w:val="auto"/>
          <w:highlight w:val="none"/>
          <w:lang w:val="en-US" w:eastAsia="zh-CN"/>
        </w:rPr>
        <w:t>。</w:t>
      </w:r>
    </w:p>
    <w:p>
      <w:pPr>
        <w:jc w:val="both"/>
        <w:rPr>
          <w:rFonts w:hint="default"/>
          <w:color w:val="auto"/>
          <w:highlight w:val="none"/>
          <w:lang w:val="en-US" w:eastAsia="zh-CN"/>
        </w:rPr>
      </w:pPr>
      <w:r>
        <w:rPr>
          <w:rFonts w:hint="eastAsia"/>
          <w:color w:val="auto"/>
          <w:highlight w:val="none"/>
          <w:lang w:val="en-US" w:eastAsia="zh-CN"/>
        </w:rPr>
        <w:t>（5）经济效益指标：</w:t>
      </w:r>
      <w:r>
        <w:rPr>
          <w:rFonts w:hint="eastAsia"/>
          <w:color w:val="auto"/>
          <w:highlight w:val="none"/>
          <w:lang w:val="en-US" w:eastAsia="zh"/>
        </w:rPr>
        <w:t>获得集成电路布图设计登记证书数量≥8项</w:t>
      </w:r>
      <w:r>
        <w:rPr>
          <w:rFonts w:hint="default"/>
          <w:color w:val="auto"/>
          <w:highlight w:val="none"/>
          <w:lang w:val="en-US" w:eastAsia="zh-CN"/>
        </w:rPr>
        <w:t>。</w:t>
      </w:r>
    </w:p>
    <w:p>
      <w:pPr>
        <w:rPr>
          <w:color w:val="auto"/>
          <w:highlight w:val="none"/>
        </w:rPr>
      </w:pPr>
      <w:r>
        <w:rPr>
          <w:rFonts w:hint="eastAsia"/>
          <w:color w:val="auto"/>
          <w:highlight w:val="none"/>
          <w:lang w:val="en-US" w:eastAsia="zh-CN"/>
        </w:rPr>
        <w:t>（6）满意度指标：</w:t>
      </w:r>
      <w:r>
        <w:rPr>
          <w:rFonts w:hint="eastAsia"/>
          <w:color w:val="auto"/>
          <w:highlight w:val="none"/>
          <w:lang w:val="en-US" w:eastAsia="zh"/>
        </w:rPr>
        <w:t>受奖励企业满意度≥90%</w:t>
      </w:r>
      <w:r>
        <w:rPr>
          <w:rFonts w:hint="default"/>
          <w:color w:val="auto"/>
          <w:highlight w:val="none"/>
          <w:lang w:val="en-US" w:eastAsia="zh-CN"/>
        </w:rPr>
        <w:t>。</w:t>
      </w:r>
    </w:p>
    <w:p>
      <w:pPr>
        <w:pStyle w:val="2"/>
        <w:bidi w:val="0"/>
        <w:rPr>
          <w:color w:val="auto"/>
          <w:highlight w:val="none"/>
        </w:rPr>
      </w:pPr>
      <w:bookmarkStart w:id="32" w:name="_Toc15369"/>
      <w:bookmarkStart w:id="33" w:name="_Toc21687"/>
      <w:bookmarkStart w:id="34" w:name="_Toc5692"/>
      <w:bookmarkStart w:id="35" w:name="_Toc24973"/>
      <w:bookmarkStart w:id="36" w:name="_Toc14396"/>
      <w:r>
        <w:rPr>
          <w:rFonts w:hint="eastAsia"/>
          <w:color w:val="auto"/>
          <w:highlight w:val="none"/>
        </w:rPr>
        <w:t>二、绩效评价工作开展情况</w:t>
      </w:r>
      <w:bookmarkEnd w:id="32"/>
      <w:bookmarkEnd w:id="33"/>
      <w:bookmarkEnd w:id="34"/>
      <w:bookmarkEnd w:id="35"/>
      <w:bookmarkEnd w:id="36"/>
    </w:p>
    <w:p>
      <w:pPr>
        <w:pStyle w:val="3"/>
        <w:bidi w:val="0"/>
        <w:rPr>
          <w:color w:val="auto"/>
          <w:highlight w:val="none"/>
        </w:rPr>
      </w:pPr>
      <w:bookmarkStart w:id="37" w:name="_Toc31730"/>
      <w:bookmarkStart w:id="38" w:name="_Toc14682"/>
      <w:bookmarkStart w:id="39" w:name="_Toc19682"/>
      <w:bookmarkStart w:id="40" w:name="_Toc12709"/>
      <w:bookmarkStart w:id="41" w:name="_Toc15902"/>
      <w:r>
        <w:rPr>
          <w:rFonts w:hint="eastAsia"/>
          <w:color w:val="auto"/>
          <w:highlight w:val="none"/>
        </w:rPr>
        <w:t>（一）评价目的、评价对象和范围</w:t>
      </w:r>
      <w:bookmarkEnd w:id="37"/>
      <w:bookmarkEnd w:id="38"/>
      <w:bookmarkEnd w:id="39"/>
      <w:bookmarkEnd w:id="40"/>
      <w:bookmarkEnd w:id="41"/>
    </w:p>
    <w:p>
      <w:p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sz w:val="32"/>
          <w:szCs w:val="40"/>
          <w:highlight w:val="none"/>
        </w:rPr>
        <w:t>1.评价目的</w:t>
      </w:r>
    </w:p>
    <w:p>
      <w:pPr>
        <w:rPr>
          <w:rFonts w:hint="eastAsia" w:cs="仿宋_GB2312"/>
          <w:b w:val="0"/>
          <w:bCs w:val="0"/>
          <w:color w:val="auto"/>
          <w:kern w:val="44"/>
          <w:szCs w:val="32"/>
          <w:highlight w:val="none"/>
          <w:lang w:val="en-US" w:eastAsia="zh-CN"/>
        </w:rPr>
      </w:pPr>
      <w:r>
        <w:rPr>
          <w:rFonts w:hint="eastAsia" w:ascii="仿宋_GB2312" w:eastAsia="仿宋_GB2312" w:cs="仿宋_GB2312"/>
          <w:i w:val="0"/>
          <w:iCs w:val="0"/>
          <w:caps w:val="0"/>
          <w:color w:val="auto"/>
          <w:spacing w:val="0"/>
          <w:kern w:val="0"/>
          <w:sz w:val="32"/>
          <w:szCs w:val="32"/>
          <w:highlight w:val="none"/>
          <w:u w:val="none"/>
          <w:lang w:val="en-US" w:eastAsia="zh" w:bidi="ar"/>
        </w:rPr>
        <w:t>通过绩效评价，</w:t>
      </w:r>
      <w:r>
        <w:rPr>
          <w:rFonts w:hint="eastAsia" w:cs="仿宋_GB2312"/>
          <w:i w:val="0"/>
          <w:iCs w:val="0"/>
          <w:caps w:val="0"/>
          <w:color w:val="auto"/>
          <w:spacing w:val="0"/>
          <w:kern w:val="0"/>
          <w:sz w:val="32"/>
          <w:szCs w:val="32"/>
          <w:highlight w:val="none"/>
          <w:u w:val="none"/>
          <w:lang w:val="en-US" w:eastAsia="zh-CN" w:bidi="ar"/>
        </w:rPr>
        <w:t>了解</w:t>
      </w:r>
      <w:r>
        <w:rPr>
          <w:rFonts w:hint="eastAsia" w:hAnsi="宋体" w:cs="仿宋_GB2312"/>
          <w:color w:val="auto"/>
          <w:kern w:val="0"/>
          <w:sz w:val="32"/>
          <w:szCs w:val="32"/>
          <w:highlight w:val="none"/>
          <w:lang w:val="en-US" w:eastAsia="zh-CN" w:bidi="ar"/>
        </w:rPr>
        <w:t>支持集成电路产业发展资金政策的落实情况。</w:t>
      </w:r>
      <w:r>
        <w:rPr>
          <w:rFonts w:hint="eastAsia"/>
          <w:color w:val="auto"/>
          <w:highlight w:val="none"/>
          <w:lang w:val="en-US" w:eastAsia="zh-CN"/>
        </w:rPr>
        <w:t>重点关</w:t>
      </w:r>
      <w:r>
        <w:rPr>
          <w:rFonts w:hint="eastAsia"/>
          <w:b w:val="0"/>
          <w:bCs w:val="0"/>
          <w:color w:val="auto"/>
          <w:highlight w:val="none"/>
          <w:lang w:val="en-US" w:eastAsia="zh-CN"/>
        </w:rPr>
        <w:t>注政策</w:t>
      </w:r>
      <w:r>
        <w:rPr>
          <w:rFonts w:hint="eastAsia"/>
          <w:b w:val="0"/>
          <w:bCs w:val="0"/>
          <w:color w:val="auto"/>
          <w:highlight w:val="none"/>
        </w:rPr>
        <w:t>资金</w:t>
      </w:r>
      <w:r>
        <w:rPr>
          <w:rFonts w:hint="eastAsia"/>
          <w:b w:val="0"/>
          <w:bCs w:val="0"/>
          <w:color w:val="auto"/>
          <w:highlight w:val="none"/>
          <w:lang w:val="en-US" w:eastAsia="zh-CN"/>
        </w:rPr>
        <w:t>使用</w:t>
      </w:r>
      <w:r>
        <w:rPr>
          <w:rFonts w:hint="eastAsia"/>
          <w:b w:val="0"/>
          <w:bCs w:val="0"/>
          <w:color w:val="auto"/>
          <w:highlight w:val="none"/>
        </w:rPr>
        <w:t>情况</w:t>
      </w:r>
      <w:r>
        <w:rPr>
          <w:rFonts w:hint="eastAsia"/>
          <w:b w:val="0"/>
          <w:bCs w:val="0"/>
          <w:color w:val="auto"/>
          <w:highlight w:val="none"/>
          <w:lang w:eastAsia="zh-CN"/>
        </w:rPr>
        <w:t>、</w:t>
      </w:r>
      <w:r>
        <w:rPr>
          <w:rFonts w:hint="eastAsia"/>
          <w:b w:val="0"/>
          <w:bCs w:val="0"/>
          <w:color w:val="auto"/>
          <w:highlight w:val="none"/>
        </w:rPr>
        <w:t>预算资金编制</w:t>
      </w:r>
      <w:r>
        <w:rPr>
          <w:rFonts w:hint="eastAsia"/>
          <w:b w:val="0"/>
          <w:bCs w:val="0"/>
          <w:color w:val="auto"/>
          <w:highlight w:val="none"/>
          <w:lang w:val="en-US" w:eastAsia="zh-CN"/>
        </w:rPr>
        <w:t>科学性、政策申报程序合规性、主管部门审核规范性、政策产出及效益</w:t>
      </w:r>
      <w:r>
        <w:rPr>
          <w:rFonts w:hint="eastAsia"/>
          <w:b w:val="0"/>
          <w:bCs w:val="0"/>
          <w:color w:val="auto"/>
          <w:highlight w:val="none"/>
        </w:rPr>
        <w:t>情况</w:t>
      </w:r>
      <w:r>
        <w:rPr>
          <w:rFonts w:hint="eastAsia"/>
          <w:b w:val="0"/>
          <w:bCs w:val="0"/>
          <w:color w:val="auto"/>
          <w:highlight w:val="none"/>
          <w:lang w:eastAsia="zh-CN"/>
        </w:rPr>
        <w:t>，</w:t>
      </w:r>
      <w:r>
        <w:rPr>
          <w:rFonts w:hint="eastAsia"/>
          <w:b w:val="0"/>
          <w:bCs w:val="0"/>
          <w:color w:val="auto"/>
          <w:highlight w:val="none"/>
          <w:lang w:val="en-US" w:eastAsia="zh-CN"/>
        </w:rPr>
        <w:t>总结政策实施经验</w:t>
      </w:r>
      <w:r>
        <w:rPr>
          <w:rFonts w:hint="eastAsia" w:cs="仿宋_GB2312"/>
          <w:b w:val="0"/>
          <w:bCs w:val="0"/>
          <w:color w:val="auto"/>
          <w:kern w:val="44"/>
          <w:szCs w:val="32"/>
          <w:highlight w:val="none"/>
          <w:lang w:eastAsia="zh-CN"/>
        </w:rPr>
        <w:t>，找出存在的问题和原因，</w:t>
      </w:r>
      <w:r>
        <w:rPr>
          <w:rFonts w:hint="eastAsia" w:cs="仿宋_GB2312"/>
          <w:b w:val="0"/>
          <w:bCs w:val="0"/>
          <w:color w:val="auto"/>
          <w:kern w:val="44"/>
          <w:szCs w:val="32"/>
          <w:highlight w:val="none"/>
          <w:lang w:val="en-US" w:eastAsia="zh-CN"/>
        </w:rPr>
        <w:t>为</w:t>
      </w:r>
      <w:r>
        <w:rPr>
          <w:rFonts w:hint="eastAsia" w:cs="仿宋_GB2312"/>
          <w:i w:val="0"/>
          <w:iCs w:val="0"/>
          <w:caps w:val="0"/>
          <w:color w:val="auto"/>
          <w:spacing w:val="0"/>
          <w:kern w:val="0"/>
          <w:sz w:val="32"/>
          <w:szCs w:val="32"/>
          <w:highlight w:val="none"/>
          <w:u w:val="none"/>
          <w:lang w:val="en-US" w:eastAsia="zh-CN" w:bidi="ar"/>
        </w:rPr>
        <w:t>后续奖补政策设计和产业扶持措施</w:t>
      </w:r>
      <w:r>
        <w:rPr>
          <w:rFonts w:hint="eastAsia" w:cs="仿宋_GB2312"/>
          <w:b w:val="0"/>
          <w:bCs w:val="0"/>
          <w:color w:val="auto"/>
          <w:kern w:val="44"/>
          <w:szCs w:val="32"/>
          <w:highlight w:val="none"/>
          <w:lang w:eastAsia="zh-CN"/>
        </w:rPr>
        <w:t>提出意见建议</w:t>
      </w:r>
      <w:r>
        <w:rPr>
          <w:rFonts w:hint="eastAsia" w:cs="仿宋_GB2312"/>
          <w:b w:val="0"/>
          <w:bCs w:val="0"/>
          <w:color w:val="auto"/>
          <w:kern w:val="44"/>
          <w:szCs w:val="32"/>
          <w:highlight w:val="none"/>
          <w:lang w:val="en-US" w:eastAsia="zh-CN"/>
        </w:rPr>
        <w:t>。</w:t>
      </w:r>
    </w:p>
    <w:p>
      <w:pPr>
        <w:numPr>
          <w:ilvl w:val="0"/>
          <w:numId w:val="0"/>
        </w:numPr>
        <w:spacing w:line="600" w:lineRule="exact"/>
        <w:ind w:firstLine="643" w:firstLineChars="200"/>
        <w:rPr>
          <w:rFonts w:hint="eastAsia" w:ascii="仿宋_GB2312" w:hAnsi="仿宋_GB2312" w:eastAsia="仿宋_GB2312" w:cs="仿宋_GB2312"/>
          <w:b/>
          <w:bCs/>
          <w:color w:val="auto"/>
          <w:sz w:val="32"/>
          <w:szCs w:val="40"/>
          <w:highlight w:val="none"/>
          <w:lang w:val="en-US" w:eastAsia="zh-CN"/>
        </w:rPr>
      </w:pPr>
      <w:r>
        <w:rPr>
          <w:rFonts w:hint="eastAsia" w:ascii="仿宋_GB2312" w:hAnsi="仿宋_GB2312" w:eastAsia="仿宋_GB2312" w:cs="仿宋_GB2312"/>
          <w:b/>
          <w:bCs/>
          <w:color w:val="auto"/>
          <w:kern w:val="2"/>
          <w:sz w:val="32"/>
          <w:szCs w:val="40"/>
          <w:highlight w:val="none"/>
          <w:lang w:val="en-US" w:eastAsia="zh-CN" w:bidi="ar-SA"/>
        </w:rPr>
        <w:t>2.</w:t>
      </w:r>
      <w:r>
        <w:rPr>
          <w:rFonts w:hint="eastAsia" w:ascii="仿宋_GB2312" w:hAnsi="仿宋_GB2312" w:eastAsia="仿宋_GB2312" w:cs="仿宋_GB2312"/>
          <w:b/>
          <w:bCs/>
          <w:color w:val="auto"/>
          <w:sz w:val="32"/>
          <w:szCs w:val="40"/>
          <w:highlight w:val="none"/>
        </w:rPr>
        <w:t>评价对象</w:t>
      </w:r>
      <w:r>
        <w:rPr>
          <w:rFonts w:hint="eastAsia" w:cs="仿宋_GB2312"/>
          <w:b/>
          <w:bCs/>
          <w:color w:val="auto"/>
          <w:sz w:val="32"/>
          <w:szCs w:val="40"/>
          <w:highlight w:val="none"/>
          <w:lang w:val="en-US" w:eastAsia="zh-CN"/>
        </w:rPr>
        <w:t>和范围</w:t>
      </w:r>
    </w:p>
    <w:p>
      <w:pPr>
        <w:ind w:firstLine="640" w:firstLineChars="200"/>
        <w:rPr>
          <w:rFonts w:hint="default" w:cs="仿宋_GB2312"/>
          <w:i w:val="0"/>
          <w:iCs w:val="0"/>
          <w:caps w:val="0"/>
          <w:color w:val="auto"/>
          <w:spacing w:val="0"/>
          <w:kern w:val="0"/>
          <w:sz w:val="32"/>
          <w:szCs w:val="32"/>
          <w:highlight w:val="none"/>
          <w:u w:val="none"/>
          <w:lang w:val="en-US" w:eastAsia="zh-CN" w:bidi="ar"/>
        </w:rPr>
      </w:pPr>
      <w:r>
        <w:rPr>
          <w:rFonts w:hint="eastAsia"/>
          <w:color w:val="auto"/>
          <w:highlight w:val="none"/>
        </w:rPr>
        <w:t>本次</w:t>
      </w:r>
      <w:r>
        <w:rPr>
          <w:rFonts w:hint="eastAsia"/>
          <w:color w:val="auto"/>
          <w:highlight w:val="none"/>
          <w:lang w:val="en-US" w:eastAsia="zh-CN"/>
        </w:rPr>
        <w:t>评价</w:t>
      </w:r>
      <w:r>
        <w:rPr>
          <w:rFonts w:hint="eastAsia"/>
          <w:color w:val="auto"/>
          <w:highlight w:val="none"/>
        </w:rPr>
        <w:t>对象为</w:t>
      </w:r>
      <w:r>
        <w:rPr>
          <w:rFonts w:hint="eastAsia" w:hAnsi="宋体" w:cs="仿宋_GB2312"/>
          <w:color w:val="auto"/>
          <w:kern w:val="0"/>
          <w:sz w:val="32"/>
          <w:szCs w:val="32"/>
          <w:highlight w:val="none"/>
          <w:lang w:val="en-US" w:eastAsia="zh-CN" w:bidi="ar"/>
        </w:rPr>
        <w:t>支持集成电路产业发展资金，共计1325</w:t>
      </w:r>
      <w:r>
        <w:rPr>
          <w:rFonts w:hint="eastAsia"/>
          <w:color w:val="auto"/>
          <w:highlight w:val="none"/>
          <w:lang w:val="en-US" w:eastAsia="zh-CN"/>
        </w:rPr>
        <w:t>万元。</w:t>
      </w:r>
      <w:r>
        <w:rPr>
          <w:rFonts w:hint="default" w:ascii="仿宋_GB2312" w:hAnsi="仿宋_GB2312" w:eastAsia="仿宋_GB2312" w:cs="仿宋_GB2312"/>
          <w:i w:val="0"/>
          <w:iCs w:val="0"/>
          <w:caps w:val="0"/>
          <w:color w:val="auto"/>
          <w:spacing w:val="0"/>
          <w:kern w:val="0"/>
          <w:sz w:val="32"/>
          <w:szCs w:val="32"/>
          <w:highlight w:val="none"/>
          <w:u w:val="none"/>
          <w:lang w:val="en-US" w:eastAsia="zh-CN" w:bidi="ar"/>
        </w:rPr>
        <w:t>评价范围</w:t>
      </w:r>
      <w:r>
        <w:rPr>
          <w:rFonts w:hint="eastAsia" w:cs="仿宋_GB2312"/>
          <w:i w:val="0"/>
          <w:iCs w:val="0"/>
          <w:caps w:val="0"/>
          <w:color w:val="auto"/>
          <w:spacing w:val="0"/>
          <w:kern w:val="0"/>
          <w:sz w:val="32"/>
          <w:szCs w:val="32"/>
          <w:highlight w:val="none"/>
          <w:u w:val="none"/>
          <w:lang w:val="en-US" w:eastAsia="zh-CN" w:bidi="ar"/>
        </w:rPr>
        <w:t>覆盖青岛市全市19家集成电路企业，涉及青岛信芯微电子科技股份有限公司、核芯互联科技（青岛）有限公司、青岛本原微电子有限公司等9家受奖补企业，以及10家申报但未通过市级复审的企业。</w:t>
      </w:r>
    </w:p>
    <w:p>
      <w:pPr>
        <w:pStyle w:val="3"/>
        <w:bidi w:val="0"/>
        <w:rPr>
          <w:rFonts w:ascii="楷体_GB2312" w:hAnsi="楷体_GB2312" w:eastAsia="楷体_GB2312" w:cs="楷体_GB2312"/>
          <w:color w:val="auto"/>
          <w:szCs w:val="40"/>
          <w:highlight w:val="none"/>
        </w:rPr>
      </w:pPr>
      <w:bookmarkStart w:id="42" w:name="_Toc20824"/>
      <w:bookmarkStart w:id="43" w:name="_Toc21544"/>
      <w:bookmarkStart w:id="44" w:name="_Toc5088"/>
      <w:bookmarkStart w:id="45" w:name="_Toc11363"/>
      <w:bookmarkStart w:id="46" w:name="_Toc21345"/>
      <w:r>
        <w:rPr>
          <w:rFonts w:hint="eastAsia"/>
          <w:color w:val="auto"/>
          <w:highlight w:val="none"/>
        </w:rPr>
        <w:t>（二）评价思路、评价重点、评价指标体系和评价标准</w:t>
      </w:r>
      <w:bookmarkEnd w:id="42"/>
      <w:bookmarkEnd w:id="43"/>
      <w:bookmarkEnd w:id="44"/>
      <w:bookmarkEnd w:id="45"/>
      <w:bookmarkEnd w:id="46"/>
    </w:p>
    <w:p>
      <w:p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sz w:val="32"/>
          <w:szCs w:val="40"/>
          <w:highlight w:val="none"/>
        </w:rPr>
        <w:t>1.评价思路</w:t>
      </w:r>
    </w:p>
    <w:p>
      <w:pPr>
        <w:spacing w:line="600" w:lineRule="exact"/>
        <w:ind w:firstLine="640" w:firstLineChars="200"/>
        <w:rPr>
          <w:rFonts w:hint="eastAsia"/>
          <w:color w:val="auto"/>
          <w:highlight w:val="none"/>
          <w:lang w:eastAsia="zh-CN"/>
        </w:rPr>
      </w:pPr>
      <w:r>
        <w:rPr>
          <w:rFonts w:hint="eastAsia"/>
          <w:color w:val="auto"/>
          <w:highlight w:val="none"/>
          <w:lang w:eastAsia="zh-CN"/>
        </w:rPr>
        <w:t>本次绩效评价思路围绕</w:t>
      </w:r>
      <w:r>
        <w:rPr>
          <w:rFonts w:hint="default"/>
          <w:color w:val="auto"/>
          <w:highlight w:val="none"/>
          <w:lang w:val="en-US" w:eastAsia="zh-CN"/>
        </w:rPr>
        <w:t>资金</w:t>
      </w:r>
      <w:r>
        <w:rPr>
          <w:rFonts w:hint="default"/>
          <w:color w:val="auto"/>
          <w:highlight w:val="none"/>
          <w:lang w:eastAsia="zh-CN"/>
        </w:rPr>
        <w:t>使用、</w:t>
      </w:r>
      <w:r>
        <w:rPr>
          <w:rFonts w:hint="default"/>
          <w:color w:val="auto"/>
          <w:highlight w:val="none"/>
          <w:lang w:val="en-US" w:eastAsia="zh-CN"/>
        </w:rPr>
        <w:t>政策申报流程、主管部门审核</w:t>
      </w:r>
      <w:r>
        <w:rPr>
          <w:rFonts w:hint="default"/>
          <w:color w:val="auto"/>
          <w:highlight w:val="none"/>
          <w:lang w:eastAsia="zh-CN"/>
        </w:rPr>
        <w:t>情况</w:t>
      </w:r>
      <w:r>
        <w:rPr>
          <w:rFonts w:hint="eastAsia"/>
          <w:color w:val="auto"/>
          <w:highlight w:val="none"/>
          <w:lang w:val="en-US" w:eastAsia="zh-CN"/>
        </w:rPr>
        <w:t>、政策实施后产业赋能情况等方面</w:t>
      </w:r>
      <w:r>
        <w:rPr>
          <w:rFonts w:hint="eastAsia"/>
          <w:color w:val="auto"/>
          <w:highlight w:val="none"/>
          <w:lang w:eastAsia="zh-CN"/>
        </w:rPr>
        <w:t>开展，</w:t>
      </w:r>
      <w:r>
        <w:rPr>
          <w:color w:val="auto"/>
          <w:highlight w:val="none"/>
          <w:lang w:val="en-US" w:eastAsia="zh-CN"/>
        </w:rPr>
        <w:t>通过现场调研、资料查阅、</w:t>
      </w:r>
      <w:r>
        <w:rPr>
          <w:rFonts w:hint="eastAsia"/>
          <w:color w:val="auto"/>
          <w:highlight w:val="none"/>
          <w:lang w:val="en-US" w:eastAsia="zh-CN"/>
        </w:rPr>
        <w:t>座谈访谈、满意度调研等方式开展评价。</w:t>
      </w:r>
      <w:r>
        <w:rPr>
          <w:color w:val="auto"/>
          <w:highlight w:val="none"/>
          <w:lang w:val="en-US" w:eastAsia="zh-CN"/>
        </w:rPr>
        <w:t>评价遵守</w:t>
      </w:r>
      <w:r>
        <w:rPr>
          <w:rFonts w:hint="eastAsia"/>
          <w:color w:val="auto"/>
          <w:highlight w:val="none"/>
          <w:lang w:val="en-US" w:eastAsia="zh-CN"/>
        </w:rPr>
        <w:t>“</w:t>
      </w:r>
      <w:r>
        <w:rPr>
          <w:rFonts w:hint="eastAsia"/>
          <w:color w:val="auto"/>
          <w:highlight w:val="none"/>
          <w:lang w:eastAsia="zh-CN"/>
        </w:rPr>
        <w:t>科学规范、绩效相关、问题导向、独立评价</w:t>
      </w:r>
      <w:r>
        <w:rPr>
          <w:rFonts w:hint="eastAsia"/>
          <w:color w:val="auto"/>
          <w:highlight w:val="none"/>
          <w:lang w:val="en-US" w:eastAsia="zh-CN"/>
        </w:rPr>
        <w:t>”等</w:t>
      </w:r>
      <w:r>
        <w:rPr>
          <w:rFonts w:hint="eastAsia"/>
          <w:color w:val="auto"/>
          <w:highlight w:val="none"/>
          <w:lang w:eastAsia="zh-CN"/>
        </w:rPr>
        <w:t>原则。</w:t>
      </w:r>
    </w:p>
    <w:p>
      <w:pPr>
        <w:spacing w:line="600" w:lineRule="exact"/>
        <w:ind w:firstLine="643" w:firstLineChars="200"/>
        <w:rPr>
          <w:rFonts w:hint="eastAsia"/>
          <w:b/>
          <w:bCs/>
          <w:color w:val="auto"/>
          <w:highlight w:val="none"/>
        </w:rPr>
      </w:pPr>
      <w:r>
        <w:rPr>
          <w:rFonts w:hint="eastAsia"/>
          <w:b/>
          <w:bCs/>
          <w:color w:val="auto"/>
          <w:highlight w:val="none"/>
          <w:lang w:val="en-US" w:eastAsia="zh-CN"/>
        </w:rPr>
        <w:t>2.</w:t>
      </w:r>
      <w:r>
        <w:rPr>
          <w:rFonts w:hint="eastAsia"/>
          <w:b/>
          <w:bCs/>
          <w:color w:val="auto"/>
          <w:highlight w:val="none"/>
        </w:rPr>
        <w:t>评价重点</w:t>
      </w:r>
    </w:p>
    <w:p>
      <w:pPr>
        <w:overflowPunct w:val="0"/>
        <w:rPr>
          <w:rFonts w:hint="default" w:cs="仿宋_GB2312"/>
          <w:b w:val="0"/>
          <w:bCs w:val="0"/>
          <w:i w:val="0"/>
          <w:iCs w:val="0"/>
          <w:caps w:val="0"/>
          <w:color w:val="auto"/>
          <w:spacing w:val="0"/>
          <w:kern w:val="0"/>
          <w:sz w:val="32"/>
          <w:szCs w:val="32"/>
          <w:highlight w:val="none"/>
          <w:u w:val="none"/>
          <w:lang w:val="en-US" w:eastAsia="zh-CN" w:bidi="ar"/>
        </w:rPr>
      </w:pPr>
      <w:r>
        <w:rPr>
          <w:rFonts w:hint="eastAsia" w:hAnsi="宋体" w:cs="仿宋_GB2312"/>
          <w:b/>
          <w:bCs/>
          <w:color w:val="auto"/>
          <w:kern w:val="0"/>
          <w:sz w:val="32"/>
          <w:szCs w:val="32"/>
          <w:highlight w:val="none"/>
          <w:lang w:val="en-US" w:eastAsia="zh-CN" w:bidi="ar"/>
        </w:rPr>
        <w:t>一是</w:t>
      </w:r>
      <w:r>
        <w:rPr>
          <w:rFonts w:hint="eastAsia" w:hAnsi="宋体" w:cs="仿宋_GB2312"/>
          <w:b w:val="0"/>
          <w:bCs w:val="0"/>
          <w:color w:val="auto"/>
          <w:kern w:val="0"/>
          <w:sz w:val="32"/>
          <w:szCs w:val="32"/>
          <w:highlight w:val="none"/>
          <w:lang w:val="en-US" w:eastAsia="zh-CN" w:bidi="ar"/>
        </w:rPr>
        <w:t>在全面评估政策设计、实施及效果基础上，重点剖析奖补措施科学性、申报流程规范性、资金到位及时性、政策成效显著性，</w:t>
      </w:r>
      <w:r>
        <w:rPr>
          <w:rFonts w:hint="default" w:ascii="仿宋_GB2312" w:hAnsi="仿宋_GB2312" w:eastAsia="仿宋_GB2312" w:cs="仿宋_GB2312"/>
          <w:b w:val="0"/>
          <w:bCs w:val="0"/>
          <w:i w:val="0"/>
          <w:iCs w:val="0"/>
          <w:caps w:val="0"/>
          <w:color w:val="auto"/>
          <w:spacing w:val="0"/>
          <w:kern w:val="0"/>
          <w:sz w:val="32"/>
          <w:szCs w:val="32"/>
          <w:highlight w:val="none"/>
          <w:u w:val="none"/>
          <w:vertAlign w:val="baseline"/>
          <w:lang w:val="en-US" w:eastAsia="zh-CN" w:bidi="ar"/>
        </w:rPr>
        <w:t>找出存在的问题</w:t>
      </w:r>
      <w:r>
        <w:rPr>
          <w:rFonts w:hint="eastAsia" w:cs="仿宋_GB2312"/>
          <w:b w:val="0"/>
          <w:bCs w:val="0"/>
          <w:i w:val="0"/>
          <w:iCs w:val="0"/>
          <w:caps w:val="0"/>
          <w:color w:val="auto"/>
          <w:spacing w:val="0"/>
          <w:kern w:val="0"/>
          <w:sz w:val="32"/>
          <w:szCs w:val="32"/>
          <w:highlight w:val="none"/>
          <w:u w:val="none"/>
          <w:vertAlign w:val="baseline"/>
          <w:lang w:val="en-US" w:eastAsia="zh-CN" w:bidi="ar"/>
        </w:rPr>
        <w:t>并分析</w:t>
      </w:r>
      <w:r>
        <w:rPr>
          <w:rFonts w:hint="default" w:ascii="仿宋_GB2312" w:hAnsi="仿宋_GB2312" w:eastAsia="仿宋_GB2312" w:cs="仿宋_GB2312"/>
          <w:b w:val="0"/>
          <w:bCs w:val="0"/>
          <w:i w:val="0"/>
          <w:iCs w:val="0"/>
          <w:caps w:val="0"/>
          <w:color w:val="auto"/>
          <w:spacing w:val="0"/>
          <w:kern w:val="0"/>
          <w:sz w:val="32"/>
          <w:szCs w:val="32"/>
          <w:highlight w:val="none"/>
          <w:u w:val="none"/>
          <w:vertAlign w:val="baseline"/>
          <w:lang w:val="en-US" w:eastAsia="zh-CN" w:bidi="ar"/>
        </w:rPr>
        <w:t>原因</w:t>
      </w:r>
      <w:r>
        <w:rPr>
          <w:rFonts w:hint="default" w:ascii="仿宋_GB2312" w:hAnsi="仿宋_GB2312" w:eastAsia="仿宋_GB2312" w:cs="仿宋_GB2312"/>
          <w:b w:val="0"/>
          <w:bCs w:val="0"/>
          <w:i w:val="0"/>
          <w:iCs w:val="0"/>
          <w:caps w:val="0"/>
          <w:color w:val="auto"/>
          <w:spacing w:val="0"/>
          <w:kern w:val="0"/>
          <w:sz w:val="32"/>
          <w:szCs w:val="32"/>
          <w:highlight w:val="none"/>
          <w:u w:val="none"/>
          <w:lang w:val="en-US" w:eastAsia="zh-CN" w:bidi="ar"/>
        </w:rPr>
        <w:t>。</w:t>
      </w:r>
      <w:r>
        <w:rPr>
          <w:rFonts w:hint="eastAsia" w:cs="仿宋_GB2312"/>
          <w:b/>
          <w:bCs/>
          <w:i w:val="0"/>
          <w:iCs w:val="0"/>
          <w:caps w:val="0"/>
          <w:color w:val="auto"/>
          <w:spacing w:val="0"/>
          <w:kern w:val="0"/>
          <w:sz w:val="32"/>
          <w:szCs w:val="32"/>
          <w:highlight w:val="none"/>
          <w:u w:val="none"/>
          <w:lang w:val="en-US" w:eastAsia="zh-CN" w:bidi="ar"/>
        </w:rPr>
        <w:t>二是</w:t>
      </w:r>
      <w:r>
        <w:rPr>
          <w:rFonts w:hint="default" w:ascii="仿宋_GB2312" w:hAnsi="仿宋_GB2312" w:eastAsia="仿宋_GB2312" w:cs="仿宋_GB2312"/>
          <w:b w:val="0"/>
          <w:bCs w:val="0"/>
          <w:i w:val="0"/>
          <w:iCs w:val="0"/>
          <w:caps w:val="0"/>
          <w:color w:val="auto"/>
          <w:spacing w:val="0"/>
          <w:kern w:val="0"/>
          <w:sz w:val="32"/>
          <w:szCs w:val="32"/>
          <w:highlight w:val="none"/>
          <w:u w:val="none"/>
          <w:lang w:val="en-US" w:eastAsia="zh-CN" w:bidi="ar"/>
        </w:rPr>
        <w:t>与省内外</w:t>
      </w:r>
      <w:r>
        <w:rPr>
          <w:rFonts w:hint="eastAsia" w:cs="仿宋_GB2312"/>
          <w:b w:val="0"/>
          <w:bCs w:val="0"/>
          <w:i w:val="0"/>
          <w:iCs w:val="0"/>
          <w:caps w:val="0"/>
          <w:color w:val="auto"/>
          <w:spacing w:val="0"/>
          <w:kern w:val="0"/>
          <w:sz w:val="32"/>
          <w:szCs w:val="32"/>
          <w:highlight w:val="none"/>
          <w:u w:val="none"/>
          <w:lang w:val="en-US" w:eastAsia="zh-CN" w:bidi="ar"/>
        </w:rPr>
        <w:t>不同</w:t>
      </w:r>
      <w:r>
        <w:rPr>
          <w:rFonts w:hint="default" w:ascii="仿宋_GB2312" w:hAnsi="仿宋_GB2312" w:eastAsia="仿宋_GB2312" w:cs="仿宋_GB2312"/>
          <w:b w:val="0"/>
          <w:bCs w:val="0"/>
          <w:i w:val="0"/>
          <w:iCs w:val="0"/>
          <w:caps w:val="0"/>
          <w:color w:val="auto"/>
          <w:spacing w:val="0"/>
          <w:kern w:val="0"/>
          <w:sz w:val="32"/>
          <w:szCs w:val="32"/>
          <w:highlight w:val="none"/>
          <w:u w:val="none"/>
          <w:lang w:val="en-US" w:eastAsia="zh-CN" w:bidi="ar"/>
        </w:rPr>
        <w:t>地区</w:t>
      </w:r>
      <w:r>
        <w:rPr>
          <w:rFonts w:hint="eastAsia" w:cs="仿宋_GB2312"/>
          <w:b w:val="0"/>
          <w:bCs w:val="0"/>
          <w:i w:val="0"/>
          <w:iCs w:val="0"/>
          <w:caps w:val="0"/>
          <w:color w:val="auto"/>
          <w:spacing w:val="0"/>
          <w:kern w:val="0"/>
          <w:sz w:val="32"/>
          <w:szCs w:val="32"/>
          <w:highlight w:val="none"/>
          <w:u w:val="none"/>
          <w:lang w:val="en-US" w:eastAsia="zh-CN" w:bidi="ar"/>
        </w:rPr>
        <w:t>的同类政策进行横向对比，如</w:t>
      </w:r>
      <w:r>
        <w:rPr>
          <w:rFonts w:hint="eastAsia" w:ascii="仿宋_GB2312" w:eastAsia="仿宋_GB2312" w:cs="仿宋_GB2312"/>
          <w:b w:val="0"/>
          <w:bCs w:val="0"/>
          <w:i w:val="0"/>
          <w:iCs w:val="0"/>
          <w:caps w:val="0"/>
          <w:color w:val="auto"/>
          <w:spacing w:val="0"/>
          <w:kern w:val="0"/>
          <w:sz w:val="32"/>
          <w:szCs w:val="32"/>
          <w:highlight w:val="none"/>
          <w:u w:val="none"/>
          <w:lang w:val="en-US" w:eastAsia="zh-CN" w:bidi="ar"/>
        </w:rPr>
        <w:t>济南市人民政府办公厅《关于促进集成电路产业发</w:t>
      </w:r>
      <w:r>
        <w:rPr>
          <w:rFonts w:hint="eastAsia" w:ascii="仿宋_GB2312" w:eastAsia="仿宋_GB2312" w:cs="仿宋_GB2312"/>
          <w:i w:val="0"/>
          <w:iCs w:val="0"/>
          <w:caps w:val="0"/>
          <w:color w:val="auto"/>
          <w:spacing w:val="0"/>
          <w:kern w:val="0"/>
          <w:sz w:val="32"/>
          <w:szCs w:val="32"/>
          <w:highlight w:val="none"/>
          <w:u w:val="none"/>
          <w:lang w:val="en-US" w:eastAsia="zh-CN" w:bidi="ar"/>
        </w:rPr>
        <w:t>展的意见》（济政办发〔2022〕3号）济南市工业和信息化局</w:t>
      </w:r>
      <w:r>
        <w:rPr>
          <w:rFonts w:hint="eastAsia" w:cs="仿宋_GB2312"/>
          <w:i w:val="0"/>
          <w:iCs w:val="0"/>
          <w:caps w:val="0"/>
          <w:color w:val="auto"/>
          <w:spacing w:val="0"/>
          <w:kern w:val="0"/>
          <w:sz w:val="32"/>
          <w:szCs w:val="32"/>
          <w:highlight w:val="none"/>
          <w:u w:val="none"/>
          <w:lang w:val="en-US" w:eastAsia="zh-CN" w:bidi="ar"/>
        </w:rPr>
        <w:t>《关于印发</w:t>
      </w:r>
      <w:r>
        <w:rPr>
          <w:rFonts w:hint="eastAsia" w:ascii="仿宋_GB2312" w:eastAsia="仿宋_GB2312" w:cs="仿宋_GB2312"/>
          <w:i w:val="0"/>
          <w:iCs w:val="0"/>
          <w:caps w:val="0"/>
          <w:color w:val="auto"/>
          <w:spacing w:val="0"/>
          <w:kern w:val="0"/>
          <w:sz w:val="32"/>
          <w:szCs w:val="32"/>
          <w:highlight w:val="none"/>
          <w:u w:val="none"/>
          <w:lang w:val="en-US" w:eastAsia="zh-CN" w:bidi="ar"/>
        </w:rPr>
        <w:t>集成电路产业发展奖补政策实施细则</w:t>
      </w:r>
      <w:r>
        <w:rPr>
          <w:rFonts w:hint="eastAsia" w:cs="仿宋_GB2312"/>
          <w:i w:val="0"/>
          <w:iCs w:val="0"/>
          <w:caps w:val="0"/>
          <w:color w:val="auto"/>
          <w:spacing w:val="0"/>
          <w:kern w:val="0"/>
          <w:sz w:val="32"/>
          <w:szCs w:val="32"/>
          <w:highlight w:val="none"/>
          <w:u w:val="none"/>
          <w:lang w:val="en-US" w:eastAsia="zh-CN" w:bidi="ar"/>
        </w:rPr>
        <w:t>（</w:t>
      </w:r>
      <w:r>
        <w:rPr>
          <w:rFonts w:hint="eastAsia" w:ascii="仿宋_GB2312" w:eastAsia="仿宋_GB2312" w:cs="仿宋_GB2312"/>
          <w:i w:val="0"/>
          <w:iCs w:val="0"/>
          <w:caps w:val="0"/>
          <w:color w:val="auto"/>
          <w:spacing w:val="0"/>
          <w:kern w:val="0"/>
          <w:sz w:val="32"/>
          <w:szCs w:val="32"/>
          <w:highlight w:val="none"/>
          <w:u w:val="none"/>
          <w:lang w:val="en-US" w:eastAsia="zh-CN" w:bidi="ar"/>
        </w:rPr>
        <w:t>试行</w:t>
      </w:r>
      <w:r>
        <w:rPr>
          <w:rFonts w:hint="eastAsia" w:cs="仿宋_GB2312"/>
          <w:i w:val="0"/>
          <w:iCs w:val="0"/>
          <w:caps w:val="0"/>
          <w:color w:val="auto"/>
          <w:spacing w:val="0"/>
          <w:kern w:val="0"/>
          <w:sz w:val="32"/>
          <w:szCs w:val="32"/>
          <w:highlight w:val="none"/>
          <w:u w:val="none"/>
          <w:lang w:val="en-US" w:eastAsia="zh-CN" w:bidi="ar"/>
        </w:rPr>
        <w:t>）</w:t>
      </w:r>
      <w:r>
        <w:rPr>
          <w:rFonts w:hint="eastAsia" w:ascii="仿宋_GB2312" w:eastAsia="仿宋_GB2312" w:cs="仿宋_GB2312"/>
          <w:i w:val="0"/>
          <w:iCs w:val="0"/>
          <w:caps w:val="0"/>
          <w:color w:val="auto"/>
          <w:spacing w:val="0"/>
          <w:kern w:val="0"/>
          <w:sz w:val="32"/>
          <w:szCs w:val="32"/>
          <w:highlight w:val="none"/>
          <w:u w:val="none"/>
          <w:lang w:val="en-US" w:eastAsia="zh-CN" w:bidi="ar"/>
        </w:rPr>
        <w:t>的通知</w:t>
      </w:r>
      <w:r>
        <w:rPr>
          <w:rFonts w:hint="eastAsia" w:cs="仿宋_GB2312"/>
          <w:i w:val="0"/>
          <w:iCs w:val="0"/>
          <w:caps w:val="0"/>
          <w:color w:val="auto"/>
          <w:spacing w:val="0"/>
          <w:kern w:val="0"/>
          <w:sz w:val="32"/>
          <w:szCs w:val="32"/>
          <w:highlight w:val="none"/>
          <w:u w:val="none"/>
          <w:lang w:val="en-US" w:eastAsia="zh-CN" w:bidi="ar"/>
        </w:rPr>
        <w:t>》（</w:t>
      </w:r>
      <w:r>
        <w:rPr>
          <w:rFonts w:hint="eastAsia" w:ascii="仿宋_GB2312" w:eastAsia="仿宋_GB2312" w:cs="仿宋_GB2312"/>
          <w:i w:val="0"/>
          <w:iCs w:val="0"/>
          <w:caps w:val="0"/>
          <w:color w:val="auto"/>
          <w:spacing w:val="0"/>
          <w:kern w:val="0"/>
          <w:sz w:val="32"/>
          <w:szCs w:val="32"/>
          <w:highlight w:val="none"/>
          <w:u w:val="none"/>
          <w:lang w:val="en-US" w:eastAsia="zh-CN" w:bidi="ar"/>
        </w:rPr>
        <w:t>济工信电子字〔2024〕1号</w:t>
      </w:r>
      <w:r>
        <w:rPr>
          <w:rFonts w:hint="eastAsia" w:cs="仿宋_GB2312"/>
          <w:i w:val="0"/>
          <w:iCs w:val="0"/>
          <w:caps w:val="0"/>
          <w:color w:val="auto"/>
          <w:spacing w:val="0"/>
          <w:kern w:val="0"/>
          <w:sz w:val="32"/>
          <w:szCs w:val="32"/>
          <w:highlight w:val="none"/>
          <w:u w:val="none"/>
          <w:lang w:val="en-US" w:eastAsia="zh-CN" w:bidi="ar"/>
        </w:rPr>
        <w:t>）、广州市工业和信息化局《关于印发加快发展集成电路产业的若干措施的通知》（穗工信规字〔2020</w:t>
      </w:r>
      <w:r>
        <w:rPr>
          <w:rFonts w:hint="eastAsia" w:ascii="仿宋_GB2312" w:eastAsia="仿宋_GB2312" w:cs="仿宋_GB2312"/>
          <w:i w:val="0"/>
          <w:iCs w:val="0"/>
          <w:caps w:val="0"/>
          <w:color w:val="auto"/>
          <w:spacing w:val="0"/>
          <w:kern w:val="0"/>
          <w:sz w:val="32"/>
          <w:szCs w:val="32"/>
          <w:highlight w:val="none"/>
          <w:u w:val="none"/>
          <w:lang w:val="en-US" w:eastAsia="zh-CN" w:bidi="ar"/>
        </w:rPr>
        <w:t>〕</w:t>
      </w:r>
      <w:r>
        <w:rPr>
          <w:rFonts w:hint="eastAsia" w:cs="仿宋_GB2312"/>
          <w:i w:val="0"/>
          <w:iCs w:val="0"/>
          <w:caps w:val="0"/>
          <w:color w:val="auto"/>
          <w:spacing w:val="0"/>
          <w:kern w:val="0"/>
          <w:sz w:val="32"/>
          <w:szCs w:val="32"/>
          <w:highlight w:val="none"/>
          <w:u w:val="none"/>
          <w:lang w:val="en-US" w:eastAsia="zh-CN" w:bidi="ar"/>
        </w:rPr>
        <w:t>4号）、成都市经济和信息化局《关于印发加快集成电路产业高质量发展的若干政策的通知》（成经信发〔2023〕4号）等</w:t>
      </w:r>
      <w:r>
        <w:rPr>
          <w:rFonts w:hint="default" w:ascii="仿宋_GB2312" w:hAnsi="仿宋_GB2312" w:eastAsia="仿宋_GB2312" w:cs="仿宋_GB2312"/>
          <w:i w:val="0"/>
          <w:iCs w:val="0"/>
          <w:caps w:val="0"/>
          <w:color w:val="auto"/>
          <w:spacing w:val="0"/>
          <w:kern w:val="0"/>
          <w:sz w:val="32"/>
          <w:szCs w:val="32"/>
          <w:highlight w:val="none"/>
          <w:u w:val="none"/>
          <w:lang w:val="en-US" w:eastAsia="zh-CN" w:bidi="ar"/>
        </w:rPr>
        <w:t>，分析各地区</w:t>
      </w:r>
      <w:r>
        <w:rPr>
          <w:rFonts w:hint="eastAsia" w:cs="仿宋_GB2312"/>
          <w:i w:val="0"/>
          <w:iCs w:val="0"/>
          <w:caps w:val="0"/>
          <w:color w:val="auto"/>
          <w:spacing w:val="0"/>
          <w:kern w:val="0"/>
          <w:sz w:val="32"/>
          <w:szCs w:val="32"/>
          <w:highlight w:val="none"/>
          <w:u w:val="none"/>
          <w:lang w:val="en-US" w:eastAsia="zh-CN" w:bidi="ar"/>
        </w:rPr>
        <w:t>关于</w:t>
      </w:r>
      <w:r>
        <w:rPr>
          <w:rFonts w:hint="eastAsia" w:hAnsi="宋体" w:cs="仿宋_GB2312"/>
          <w:color w:val="auto"/>
          <w:kern w:val="0"/>
          <w:sz w:val="32"/>
          <w:szCs w:val="32"/>
          <w:highlight w:val="none"/>
          <w:lang w:val="en-US" w:eastAsia="zh-CN" w:bidi="ar"/>
        </w:rPr>
        <w:t>支持集成电路产业发展</w:t>
      </w:r>
      <w:r>
        <w:rPr>
          <w:rFonts w:hint="eastAsia" w:cs="仿宋_GB2312"/>
          <w:i w:val="0"/>
          <w:iCs w:val="0"/>
          <w:caps w:val="0"/>
          <w:color w:val="auto"/>
          <w:spacing w:val="0"/>
          <w:kern w:val="0"/>
          <w:sz w:val="32"/>
          <w:szCs w:val="32"/>
          <w:highlight w:val="none"/>
          <w:u w:val="none"/>
          <w:lang w:val="en-US" w:eastAsia="zh-CN" w:bidi="ar"/>
        </w:rPr>
        <w:t>政策</w:t>
      </w:r>
      <w:r>
        <w:rPr>
          <w:rFonts w:hint="default" w:ascii="仿宋_GB2312" w:hAnsi="仿宋_GB2312" w:eastAsia="仿宋_GB2312" w:cs="仿宋_GB2312"/>
          <w:i w:val="0"/>
          <w:iCs w:val="0"/>
          <w:caps w:val="0"/>
          <w:color w:val="auto"/>
          <w:spacing w:val="0"/>
          <w:kern w:val="0"/>
          <w:sz w:val="32"/>
          <w:szCs w:val="32"/>
          <w:highlight w:val="none"/>
          <w:u w:val="none"/>
          <w:lang w:val="en-US" w:eastAsia="zh-CN" w:bidi="ar"/>
        </w:rPr>
        <w:t>的差异</w:t>
      </w:r>
      <w:r>
        <w:rPr>
          <w:rFonts w:hint="eastAsia" w:cs="仿宋_GB2312"/>
          <w:i w:val="0"/>
          <w:iCs w:val="0"/>
          <w:caps w:val="0"/>
          <w:color w:val="auto"/>
          <w:spacing w:val="0"/>
          <w:kern w:val="0"/>
          <w:sz w:val="32"/>
          <w:szCs w:val="32"/>
          <w:highlight w:val="none"/>
          <w:u w:val="none"/>
          <w:lang w:val="en-US" w:eastAsia="zh-CN" w:bidi="ar"/>
        </w:rPr>
        <w:t>优劣。</w:t>
      </w:r>
      <w:r>
        <w:rPr>
          <w:rFonts w:hint="eastAsia" w:cs="仿宋_GB2312"/>
          <w:b/>
          <w:bCs/>
          <w:i w:val="0"/>
          <w:iCs w:val="0"/>
          <w:caps w:val="0"/>
          <w:color w:val="auto"/>
          <w:spacing w:val="0"/>
          <w:kern w:val="0"/>
          <w:sz w:val="32"/>
          <w:szCs w:val="32"/>
          <w:highlight w:val="none"/>
          <w:u w:val="none"/>
          <w:lang w:val="en-US" w:eastAsia="zh-CN" w:bidi="ar"/>
        </w:rPr>
        <w:t>三是</w:t>
      </w:r>
      <w:r>
        <w:rPr>
          <w:rFonts w:hint="eastAsia" w:cs="仿宋_GB2312"/>
          <w:b w:val="0"/>
          <w:bCs w:val="0"/>
          <w:i w:val="0"/>
          <w:iCs w:val="0"/>
          <w:caps w:val="0"/>
          <w:color w:val="auto"/>
          <w:spacing w:val="0"/>
          <w:kern w:val="0"/>
          <w:sz w:val="32"/>
          <w:szCs w:val="32"/>
          <w:highlight w:val="none"/>
          <w:u w:val="none"/>
          <w:lang w:val="en-US" w:eastAsia="zh-CN" w:bidi="ar"/>
        </w:rPr>
        <w:t>对青岛市集成电路企业（市工业和信息化局在册集成电路企业共43家）进行全面评估，重点围绕政策实施成效，系统分析对当地集成电路产业发展的促进作用，包括但不限于企业营收增长、税收贡献提升以及产业集群培育等方面情况。</w:t>
      </w:r>
    </w:p>
    <w:p>
      <w:pPr>
        <w:numPr>
          <w:ilvl w:val="0"/>
          <w:numId w:val="0"/>
        </w:num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kern w:val="2"/>
          <w:sz w:val="32"/>
          <w:szCs w:val="40"/>
          <w:highlight w:val="none"/>
          <w:lang w:val="en-US" w:eastAsia="zh-CN" w:bidi="ar-SA"/>
        </w:rPr>
        <w:t>3.</w:t>
      </w:r>
      <w:r>
        <w:rPr>
          <w:rFonts w:hint="eastAsia" w:ascii="仿宋_GB2312" w:hAnsi="仿宋_GB2312" w:eastAsia="仿宋_GB2312" w:cs="仿宋_GB2312"/>
          <w:b/>
          <w:bCs/>
          <w:color w:val="auto"/>
          <w:sz w:val="32"/>
          <w:szCs w:val="40"/>
          <w:highlight w:val="none"/>
        </w:rPr>
        <w:t>评价指标体系</w:t>
      </w:r>
    </w:p>
    <w:p>
      <w:pPr>
        <w:keepNext w:val="0"/>
        <w:keepLines w:val="0"/>
        <w:pageBreakBefore w:val="0"/>
        <w:widowControl/>
        <w:suppressLineNumbers w:val="0"/>
        <w:shd w:val="clear"/>
        <w:kinsoku/>
        <w:wordWrap/>
        <w:overflowPunct/>
        <w:topLinePunct w:val="0"/>
        <w:autoSpaceDN/>
        <w:bidi w:val="0"/>
        <w:adjustRightInd/>
        <w:spacing w:beforeLines="0" w:beforeAutospacing="0" w:afterLines="0" w:afterAutospacing="0" w:line="600" w:lineRule="exact"/>
        <w:ind w:left="0" w:right="0" w:firstLine="640"/>
        <w:jc w:val="both"/>
        <w:textAlignment w:val="auto"/>
        <w:rPr>
          <w:rFonts w:hint="default" w:ascii="仿宋_GB2312" w:hAnsi="仿宋_GB2312" w:eastAsia="仿宋_GB2312" w:cs="仿宋_GB2312"/>
          <w:i w:val="0"/>
          <w:iCs w:val="0"/>
          <w:caps w:val="0"/>
          <w:color w:val="auto"/>
          <w:spacing w:val="0"/>
          <w:kern w:val="0"/>
          <w:sz w:val="32"/>
          <w:szCs w:val="32"/>
          <w:highlight w:val="none"/>
          <w:u w:val="none"/>
          <w:lang w:val="en-US" w:eastAsia="zh-CN" w:bidi="ar"/>
        </w:rPr>
      </w:pPr>
      <w:r>
        <w:rPr>
          <w:rFonts w:hint="default" w:hAnsi="宋体" w:cs="仿宋_GB2312"/>
          <w:color w:val="auto"/>
          <w:kern w:val="0"/>
          <w:sz w:val="32"/>
          <w:szCs w:val="32"/>
          <w:highlight w:val="none"/>
          <w:lang w:val="en-US" w:eastAsia="zh-CN" w:bidi="ar"/>
        </w:rPr>
        <w:t>为客观公正地反映</w:t>
      </w:r>
      <w:r>
        <w:rPr>
          <w:rFonts w:hint="eastAsia" w:hAnsi="宋体" w:cs="仿宋_GB2312"/>
          <w:color w:val="auto"/>
          <w:kern w:val="0"/>
          <w:sz w:val="32"/>
          <w:szCs w:val="32"/>
          <w:highlight w:val="none"/>
          <w:lang w:val="en-US" w:eastAsia="zh-CN" w:bidi="ar"/>
        </w:rPr>
        <w:t>支持集成电路产业发展资金的实施效果</w:t>
      </w:r>
      <w:r>
        <w:rPr>
          <w:rFonts w:hint="default" w:hAnsi="宋体" w:cs="仿宋_GB2312"/>
          <w:color w:val="auto"/>
          <w:kern w:val="0"/>
          <w:sz w:val="32"/>
          <w:szCs w:val="32"/>
          <w:highlight w:val="none"/>
          <w:lang w:val="en-US" w:eastAsia="zh-CN" w:bidi="ar"/>
        </w:rPr>
        <w:t>，</w:t>
      </w:r>
      <w:r>
        <w:rPr>
          <w:rFonts w:hint="eastAsia" w:hAnsi="宋体" w:cs="仿宋_GB2312"/>
          <w:color w:val="auto"/>
          <w:kern w:val="0"/>
          <w:sz w:val="32"/>
          <w:szCs w:val="32"/>
          <w:highlight w:val="none"/>
          <w:lang w:val="en-US" w:eastAsia="zh-CN" w:bidi="ar"/>
        </w:rPr>
        <w:t>评价工作组根据财政部《项目支出绩效评价管理办法》（财预〔2020〕10号）的</w:t>
      </w:r>
      <w:r>
        <w:rPr>
          <w:rFonts w:hint="eastAsia" w:cs="Times New Roman"/>
          <w:color w:val="auto"/>
          <w:sz w:val="32"/>
          <w:szCs w:val="32"/>
          <w:highlight w:val="none"/>
          <w:lang w:val="en-US" w:eastAsia="zh-CN"/>
        </w:rPr>
        <w:t>有关要求</w:t>
      </w:r>
      <w:r>
        <w:rPr>
          <w:rFonts w:hint="eastAsia" w:cs="仿宋_GB2312"/>
          <w:i w:val="0"/>
          <w:iCs w:val="0"/>
          <w:caps w:val="0"/>
          <w:color w:val="auto"/>
          <w:spacing w:val="0"/>
          <w:kern w:val="0"/>
          <w:sz w:val="32"/>
          <w:szCs w:val="32"/>
          <w:highlight w:val="none"/>
          <w:u w:val="none"/>
          <w:lang w:val="en-US" w:eastAsia="zh-CN" w:bidi="ar"/>
        </w:rPr>
        <w:t>，</w:t>
      </w:r>
      <w:r>
        <w:rPr>
          <w:rFonts w:hint="default" w:ascii="仿宋_GB2312" w:hAnsi="仿宋_GB2312" w:eastAsia="仿宋_GB2312" w:cs="仿宋_GB2312"/>
          <w:i w:val="0"/>
          <w:iCs w:val="0"/>
          <w:caps w:val="0"/>
          <w:color w:val="auto"/>
          <w:spacing w:val="0"/>
          <w:kern w:val="0"/>
          <w:sz w:val="32"/>
          <w:szCs w:val="32"/>
          <w:highlight w:val="none"/>
          <w:u w:val="none"/>
          <w:lang w:val="en-US" w:eastAsia="zh-CN" w:bidi="ar"/>
        </w:rPr>
        <w:t>从政策制定、政策实施、政策效果3个维度制定绩效评价指标体系，</w:t>
      </w:r>
      <w:r>
        <w:rPr>
          <w:rFonts w:hint="eastAsia" w:cs="仿宋_GB2312"/>
          <w:i w:val="0"/>
          <w:iCs w:val="0"/>
          <w:caps w:val="0"/>
          <w:color w:val="auto"/>
          <w:spacing w:val="0"/>
          <w:kern w:val="0"/>
          <w:sz w:val="32"/>
          <w:szCs w:val="32"/>
          <w:highlight w:val="none"/>
          <w:u w:val="none"/>
          <w:lang w:val="en-US" w:eastAsia="zh-CN" w:bidi="ar"/>
        </w:rPr>
        <w:t>下设13个二级指标和23个三级指标，一级指标权重为政策制定指标20分、政策实施指标20分、政策效果指标60分。</w:t>
      </w:r>
    </w:p>
    <w:p>
      <w:pPr>
        <w:keepNext w:val="0"/>
        <w:keepLines w:val="0"/>
        <w:pageBreakBefore w:val="0"/>
        <w:widowControl w:val="0"/>
        <w:suppressLineNumbers w:val="0"/>
        <w:shd w:val="clear"/>
        <w:kinsoku/>
        <w:wordWrap/>
        <w:overflowPunct/>
        <w:topLinePunct w:val="0"/>
        <w:autoSpaceDN/>
        <w:bidi w:val="0"/>
        <w:adjustRightInd/>
        <w:spacing w:beforeLines="0" w:beforeAutospacing="0" w:afterLines="0" w:afterAutospacing="0" w:line="600" w:lineRule="exact"/>
        <w:ind w:left="0" w:right="0" w:firstLine="640" w:firstLineChars="200"/>
        <w:jc w:val="both"/>
        <w:textAlignment w:val="auto"/>
        <w:rPr>
          <w:rFonts w:hint="default" w:ascii="仿宋_GB2312" w:eastAsia="仿宋_GB2312" w:cs="Times New Roman"/>
          <w:color w:val="auto"/>
          <w:kern w:val="2"/>
          <w:sz w:val="32"/>
          <w:szCs w:val="32"/>
          <w:highlight w:val="none"/>
        </w:rPr>
      </w:pPr>
      <w:r>
        <w:rPr>
          <w:rFonts w:hint="eastAsia" w:cs="Times New Roman"/>
          <w:color w:val="auto"/>
          <w:kern w:val="2"/>
          <w:sz w:val="32"/>
          <w:szCs w:val="32"/>
          <w:highlight w:val="none"/>
          <w:lang w:val="en-US" w:eastAsia="zh-CN" w:bidi="ar"/>
        </w:rPr>
        <w:t>（1）政策制定</w:t>
      </w:r>
      <w:r>
        <w:rPr>
          <w:rFonts w:hint="default" w:ascii="仿宋_GB2312" w:hAnsi="仿宋_GB2312" w:eastAsia="仿宋_GB2312" w:cs="Times New Roman"/>
          <w:color w:val="auto"/>
          <w:kern w:val="2"/>
          <w:sz w:val="32"/>
          <w:szCs w:val="32"/>
          <w:highlight w:val="none"/>
          <w:lang w:val="en-US" w:eastAsia="zh-CN" w:bidi="ar"/>
        </w:rPr>
        <w:t>：占权重分</w:t>
      </w:r>
      <w:r>
        <w:rPr>
          <w:rFonts w:hint="eastAsia" w:cs="仿宋_GB2312"/>
          <w:color w:val="auto"/>
          <w:kern w:val="2"/>
          <w:sz w:val="32"/>
          <w:szCs w:val="32"/>
          <w:highlight w:val="none"/>
          <w:lang w:val="en-US" w:eastAsia="zh-CN" w:bidi="ar"/>
        </w:rPr>
        <w:t>20</w:t>
      </w:r>
      <w:r>
        <w:rPr>
          <w:rFonts w:hint="default" w:ascii="仿宋_GB2312" w:hAnsi="仿宋_GB2312" w:eastAsia="仿宋_GB2312" w:cs="仿宋_GB2312"/>
          <w:color w:val="auto"/>
          <w:kern w:val="2"/>
          <w:sz w:val="32"/>
          <w:szCs w:val="32"/>
          <w:highlight w:val="none"/>
          <w:lang w:val="en-US" w:eastAsia="zh-CN" w:bidi="ar"/>
        </w:rPr>
        <w:t>分，用于评价</w:t>
      </w:r>
      <w:r>
        <w:rPr>
          <w:rFonts w:hint="eastAsia" w:hAnsi="宋体" w:cs="仿宋_GB2312"/>
          <w:color w:val="auto"/>
          <w:kern w:val="0"/>
          <w:sz w:val="32"/>
          <w:szCs w:val="32"/>
          <w:highlight w:val="none"/>
          <w:lang w:val="en-US" w:eastAsia="zh-CN" w:bidi="ar"/>
        </w:rPr>
        <w:t>支持集成电路产业发展资金政策设立</w:t>
      </w:r>
      <w:r>
        <w:rPr>
          <w:rFonts w:hint="default" w:ascii="仿宋_GB2312" w:hAnsi="仿宋_GB2312" w:eastAsia="仿宋_GB2312" w:cs="仿宋_GB2312"/>
          <w:color w:val="auto"/>
          <w:kern w:val="2"/>
          <w:sz w:val="32"/>
          <w:szCs w:val="32"/>
          <w:highlight w:val="none"/>
          <w:lang w:val="en-US" w:eastAsia="zh-CN" w:bidi="ar"/>
        </w:rPr>
        <w:t>、</w:t>
      </w:r>
      <w:r>
        <w:rPr>
          <w:rFonts w:hint="eastAsia" w:cs="仿宋_GB2312"/>
          <w:color w:val="auto"/>
          <w:kern w:val="2"/>
          <w:sz w:val="32"/>
          <w:szCs w:val="32"/>
          <w:highlight w:val="none"/>
          <w:lang w:val="en-US" w:eastAsia="zh-CN" w:bidi="ar"/>
        </w:rPr>
        <w:t>政策</w:t>
      </w:r>
      <w:r>
        <w:rPr>
          <w:rFonts w:hint="default" w:ascii="仿宋_GB2312" w:hAnsi="仿宋_GB2312" w:eastAsia="仿宋_GB2312" w:cs="仿宋_GB2312"/>
          <w:color w:val="auto"/>
          <w:kern w:val="2"/>
          <w:sz w:val="32"/>
          <w:szCs w:val="32"/>
          <w:highlight w:val="none"/>
          <w:lang w:val="en-US" w:eastAsia="zh-CN" w:bidi="ar"/>
        </w:rPr>
        <w:t>目标和资金</w:t>
      </w:r>
      <w:r>
        <w:rPr>
          <w:rFonts w:hint="eastAsia" w:cs="仿宋_GB2312"/>
          <w:color w:val="auto"/>
          <w:kern w:val="2"/>
          <w:sz w:val="32"/>
          <w:szCs w:val="32"/>
          <w:highlight w:val="none"/>
          <w:lang w:val="en-US" w:eastAsia="zh-CN" w:bidi="ar"/>
        </w:rPr>
        <w:t>安排</w:t>
      </w:r>
      <w:r>
        <w:rPr>
          <w:rFonts w:hint="default" w:ascii="仿宋_GB2312" w:hAnsi="仿宋_GB2312" w:eastAsia="仿宋_GB2312" w:cs="仿宋_GB2312"/>
          <w:color w:val="auto"/>
          <w:kern w:val="2"/>
          <w:sz w:val="32"/>
          <w:szCs w:val="32"/>
          <w:highlight w:val="none"/>
          <w:lang w:val="en-US" w:eastAsia="zh-CN" w:bidi="ar"/>
        </w:rPr>
        <w:t>。</w:t>
      </w:r>
      <w:r>
        <w:rPr>
          <w:rFonts w:hint="eastAsia" w:hAnsi="宋体" w:cs="仿宋_GB2312"/>
          <w:color w:val="auto"/>
          <w:kern w:val="0"/>
          <w:sz w:val="32"/>
          <w:szCs w:val="32"/>
          <w:highlight w:val="none"/>
          <w:lang w:val="en-US" w:eastAsia="zh-CN" w:bidi="ar"/>
        </w:rPr>
        <w:t>政策设立</w:t>
      </w:r>
      <w:r>
        <w:rPr>
          <w:rFonts w:hint="default" w:ascii="仿宋_GB2312" w:hAnsi="仿宋_GB2312" w:eastAsia="仿宋_GB2312" w:cs="仿宋_GB2312"/>
          <w:color w:val="auto"/>
          <w:kern w:val="2"/>
          <w:sz w:val="32"/>
          <w:szCs w:val="32"/>
          <w:highlight w:val="none"/>
          <w:lang w:val="en-US" w:eastAsia="zh-CN" w:bidi="ar"/>
        </w:rPr>
        <w:t>考察</w:t>
      </w:r>
      <w:r>
        <w:rPr>
          <w:rFonts w:hint="eastAsia" w:cs="仿宋_GB2312"/>
          <w:color w:val="auto"/>
          <w:kern w:val="2"/>
          <w:sz w:val="32"/>
          <w:szCs w:val="32"/>
          <w:highlight w:val="none"/>
          <w:lang w:val="en-US" w:eastAsia="zh-CN" w:bidi="ar"/>
        </w:rPr>
        <w:t>设立</w:t>
      </w:r>
      <w:r>
        <w:rPr>
          <w:rFonts w:hint="default" w:ascii="仿宋_GB2312" w:hAnsi="仿宋_GB2312" w:eastAsia="仿宋_GB2312" w:cs="仿宋_GB2312"/>
          <w:color w:val="auto"/>
          <w:kern w:val="2"/>
          <w:sz w:val="32"/>
          <w:szCs w:val="32"/>
          <w:highlight w:val="none"/>
          <w:lang w:val="en-US" w:eastAsia="zh-CN" w:bidi="ar"/>
        </w:rPr>
        <w:t>依据充分性和</w:t>
      </w:r>
      <w:r>
        <w:rPr>
          <w:rFonts w:hint="eastAsia" w:cs="仿宋_GB2312"/>
          <w:color w:val="auto"/>
          <w:kern w:val="2"/>
          <w:sz w:val="32"/>
          <w:szCs w:val="32"/>
          <w:highlight w:val="none"/>
          <w:lang w:val="en-US" w:eastAsia="zh-CN" w:bidi="ar"/>
        </w:rPr>
        <w:t>设立</w:t>
      </w:r>
      <w:r>
        <w:rPr>
          <w:rFonts w:hint="default" w:ascii="仿宋_GB2312" w:hAnsi="仿宋_GB2312" w:eastAsia="仿宋_GB2312" w:cs="仿宋_GB2312"/>
          <w:color w:val="auto"/>
          <w:kern w:val="2"/>
          <w:sz w:val="32"/>
          <w:szCs w:val="32"/>
          <w:highlight w:val="none"/>
          <w:lang w:val="en-US" w:eastAsia="zh-CN" w:bidi="ar"/>
        </w:rPr>
        <w:t>程序规范性，</w:t>
      </w:r>
      <w:r>
        <w:rPr>
          <w:rFonts w:hint="eastAsia" w:cs="仿宋_GB2312"/>
          <w:color w:val="auto"/>
          <w:kern w:val="2"/>
          <w:sz w:val="32"/>
          <w:szCs w:val="32"/>
          <w:highlight w:val="none"/>
          <w:lang w:val="en-US" w:eastAsia="zh-CN" w:bidi="ar"/>
        </w:rPr>
        <w:t>政策</w:t>
      </w:r>
      <w:r>
        <w:rPr>
          <w:rFonts w:hint="default" w:ascii="仿宋_GB2312" w:hAnsi="仿宋_GB2312" w:eastAsia="仿宋_GB2312" w:cs="仿宋_GB2312"/>
          <w:color w:val="auto"/>
          <w:kern w:val="2"/>
          <w:sz w:val="32"/>
          <w:szCs w:val="32"/>
          <w:highlight w:val="none"/>
          <w:lang w:val="en-US" w:eastAsia="zh-CN" w:bidi="ar"/>
        </w:rPr>
        <w:t>目标考察</w:t>
      </w:r>
      <w:r>
        <w:rPr>
          <w:rFonts w:hint="eastAsia" w:cs="仿宋_GB2312"/>
          <w:color w:val="auto"/>
          <w:kern w:val="2"/>
          <w:sz w:val="32"/>
          <w:szCs w:val="32"/>
          <w:highlight w:val="none"/>
          <w:lang w:val="en-US" w:eastAsia="zh-CN" w:bidi="ar"/>
        </w:rPr>
        <w:t>目</w:t>
      </w:r>
      <w:r>
        <w:rPr>
          <w:rFonts w:hint="default" w:ascii="仿宋_GB2312" w:hAnsi="仿宋_GB2312" w:eastAsia="仿宋_GB2312" w:cs="仿宋_GB2312"/>
          <w:color w:val="auto"/>
          <w:kern w:val="2"/>
          <w:sz w:val="32"/>
          <w:szCs w:val="32"/>
          <w:highlight w:val="none"/>
          <w:lang w:val="en-US" w:eastAsia="zh-CN" w:bidi="ar"/>
        </w:rPr>
        <w:t>标合理性，资金</w:t>
      </w:r>
      <w:r>
        <w:rPr>
          <w:rFonts w:hint="eastAsia" w:cs="仿宋_GB2312"/>
          <w:color w:val="auto"/>
          <w:kern w:val="2"/>
          <w:sz w:val="32"/>
          <w:szCs w:val="32"/>
          <w:highlight w:val="none"/>
          <w:lang w:val="en-US" w:eastAsia="zh-CN" w:bidi="ar"/>
        </w:rPr>
        <w:t>安排</w:t>
      </w:r>
      <w:r>
        <w:rPr>
          <w:rFonts w:hint="default" w:ascii="仿宋_GB2312" w:hAnsi="仿宋_GB2312" w:eastAsia="仿宋_GB2312" w:cs="仿宋_GB2312"/>
          <w:color w:val="auto"/>
          <w:kern w:val="2"/>
          <w:sz w:val="32"/>
          <w:szCs w:val="32"/>
          <w:highlight w:val="none"/>
          <w:lang w:val="en-US" w:eastAsia="zh-CN" w:bidi="ar"/>
        </w:rPr>
        <w:t>考察</w:t>
      </w:r>
      <w:r>
        <w:rPr>
          <w:rFonts w:hint="eastAsia" w:cs="仿宋_GB2312"/>
          <w:color w:val="auto"/>
          <w:kern w:val="2"/>
          <w:sz w:val="32"/>
          <w:szCs w:val="32"/>
          <w:highlight w:val="none"/>
          <w:lang w:val="en-US" w:eastAsia="zh-CN" w:bidi="ar"/>
        </w:rPr>
        <w:t>政策支出标准科学性</w:t>
      </w:r>
      <w:r>
        <w:rPr>
          <w:rFonts w:hint="default" w:ascii="仿宋_GB2312" w:hAnsi="仿宋_GB2312" w:eastAsia="仿宋_GB2312" w:cs="仿宋_GB2312"/>
          <w:color w:val="auto"/>
          <w:kern w:val="2"/>
          <w:sz w:val="32"/>
          <w:szCs w:val="32"/>
          <w:highlight w:val="none"/>
          <w:lang w:val="en-US" w:eastAsia="zh-CN" w:bidi="ar"/>
        </w:rPr>
        <w:t>和资金分配合理性。</w:t>
      </w:r>
    </w:p>
    <w:p>
      <w:pPr>
        <w:keepNext w:val="0"/>
        <w:keepLines w:val="0"/>
        <w:pageBreakBefore w:val="0"/>
        <w:widowControl w:val="0"/>
        <w:suppressLineNumbers w:val="0"/>
        <w:shd w:val="clear"/>
        <w:kinsoku/>
        <w:wordWrap/>
        <w:overflowPunct w:val="0"/>
        <w:topLinePunct w:val="0"/>
        <w:autoSpaceDN/>
        <w:bidi w:val="0"/>
        <w:adjustRightInd/>
        <w:spacing w:beforeLines="0" w:beforeAutospacing="0" w:afterLines="0" w:afterAutospacing="0" w:line="600" w:lineRule="exact"/>
        <w:ind w:left="0" w:right="0" w:firstLine="640" w:firstLineChars="200"/>
        <w:jc w:val="both"/>
        <w:textAlignment w:val="auto"/>
        <w:rPr>
          <w:rFonts w:hint="default" w:ascii="仿宋_GB2312" w:eastAsia="仿宋_GB2312" w:cs="Times New Roman"/>
          <w:color w:val="auto"/>
          <w:kern w:val="2"/>
          <w:sz w:val="32"/>
          <w:szCs w:val="32"/>
          <w:highlight w:val="none"/>
        </w:rPr>
      </w:pPr>
      <w:r>
        <w:rPr>
          <w:rFonts w:hint="eastAsia" w:cs="Times New Roman"/>
          <w:color w:val="auto"/>
          <w:kern w:val="2"/>
          <w:sz w:val="32"/>
          <w:szCs w:val="32"/>
          <w:highlight w:val="none"/>
          <w:lang w:val="en-US" w:eastAsia="zh-CN" w:bidi="ar"/>
        </w:rPr>
        <w:t>（2）政策实施</w:t>
      </w:r>
      <w:r>
        <w:rPr>
          <w:rFonts w:hint="default" w:ascii="仿宋_GB2312" w:hAnsi="仿宋_GB2312" w:eastAsia="仿宋_GB2312" w:cs="Times New Roman"/>
          <w:color w:val="auto"/>
          <w:kern w:val="2"/>
          <w:sz w:val="32"/>
          <w:szCs w:val="32"/>
          <w:highlight w:val="none"/>
          <w:lang w:val="en-US" w:eastAsia="zh-CN" w:bidi="ar"/>
        </w:rPr>
        <w:t>：占权重分</w:t>
      </w:r>
      <w:r>
        <w:rPr>
          <w:rFonts w:hint="eastAsia" w:cs="Times New Roman"/>
          <w:color w:val="auto"/>
          <w:kern w:val="2"/>
          <w:sz w:val="32"/>
          <w:szCs w:val="32"/>
          <w:highlight w:val="none"/>
          <w:lang w:val="en-US" w:eastAsia="zh-CN" w:bidi="ar"/>
        </w:rPr>
        <w:t>20</w:t>
      </w:r>
      <w:r>
        <w:rPr>
          <w:rFonts w:hint="default" w:ascii="仿宋_GB2312" w:hAnsi="仿宋_GB2312" w:eastAsia="仿宋_GB2312" w:cs="仿宋_GB2312"/>
          <w:color w:val="auto"/>
          <w:kern w:val="2"/>
          <w:sz w:val="32"/>
          <w:szCs w:val="32"/>
          <w:highlight w:val="none"/>
          <w:lang w:val="en-US" w:eastAsia="zh-CN" w:bidi="ar"/>
        </w:rPr>
        <w:t>分，用于评价</w:t>
      </w:r>
      <w:r>
        <w:rPr>
          <w:rFonts w:hint="eastAsia" w:hAnsi="宋体" w:cs="仿宋_GB2312"/>
          <w:color w:val="auto"/>
          <w:kern w:val="0"/>
          <w:sz w:val="32"/>
          <w:szCs w:val="32"/>
          <w:highlight w:val="none"/>
          <w:lang w:val="en-US" w:eastAsia="zh-CN" w:bidi="ar"/>
        </w:rPr>
        <w:t>支持集成电路产业发展资金</w:t>
      </w:r>
      <w:r>
        <w:rPr>
          <w:rFonts w:hint="default" w:ascii="仿宋_GB2312" w:hAnsi="仿宋_GB2312" w:eastAsia="仿宋_GB2312" w:cs="仿宋_GB2312"/>
          <w:color w:val="auto"/>
          <w:kern w:val="2"/>
          <w:sz w:val="32"/>
          <w:szCs w:val="32"/>
          <w:highlight w:val="none"/>
          <w:lang w:val="en-US" w:eastAsia="zh-CN" w:bidi="ar"/>
        </w:rPr>
        <w:t>的资金管理和</w:t>
      </w:r>
      <w:r>
        <w:rPr>
          <w:rFonts w:hint="eastAsia" w:cs="仿宋_GB2312"/>
          <w:color w:val="auto"/>
          <w:kern w:val="2"/>
          <w:sz w:val="32"/>
          <w:szCs w:val="32"/>
          <w:highlight w:val="none"/>
          <w:lang w:val="en-US" w:eastAsia="zh-CN" w:bidi="ar"/>
        </w:rPr>
        <w:t>保障机制</w:t>
      </w:r>
      <w:r>
        <w:rPr>
          <w:rFonts w:hint="default" w:ascii="仿宋_GB2312" w:hAnsi="仿宋_GB2312" w:eastAsia="仿宋_GB2312" w:cs="仿宋_GB2312"/>
          <w:color w:val="auto"/>
          <w:kern w:val="2"/>
          <w:sz w:val="32"/>
          <w:szCs w:val="32"/>
          <w:highlight w:val="none"/>
          <w:lang w:val="en-US" w:eastAsia="zh-CN" w:bidi="ar"/>
        </w:rPr>
        <w:t>。资金管理考察资金到位率</w:t>
      </w:r>
      <w:r>
        <w:rPr>
          <w:rFonts w:hint="eastAsia" w:cs="仿宋_GB2312"/>
          <w:color w:val="auto"/>
          <w:kern w:val="2"/>
          <w:sz w:val="32"/>
          <w:szCs w:val="32"/>
          <w:highlight w:val="none"/>
          <w:lang w:val="en-US" w:eastAsia="zh-CN" w:bidi="ar"/>
        </w:rPr>
        <w:t>、</w:t>
      </w:r>
      <w:r>
        <w:rPr>
          <w:rFonts w:hint="default" w:ascii="仿宋_GB2312" w:hAnsi="仿宋_GB2312" w:eastAsia="仿宋_GB2312" w:cs="仿宋_GB2312"/>
          <w:color w:val="auto"/>
          <w:kern w:val="2"/>
          <w:sz w:val="32"/>
          <w:szCs w:val="32"/>
          <w:highlight w:val="none"/>
          <w:lang w:val="en-US" w:eastAsia="zh-CN" w:bidi="ar"/>
        </w:rPr>
        <w:t>预算执行率</w:t>
      </w:r>
      <w:r>
        <w:rPr>
          <w:rFonts w:hint="eastAsia" w:cs="仿宋_GB2312"/>
          <w:color w:val="auto"/>
          <w:kern w:val="2"/>
          <w:sz w:val="32"/>
          <w:szCs w:val="32"/>
          <w:highlight w:val="none"/>
          <w:lang w:val="en-US" w:eastAsia="zh-CN" w:bidi="ar"/>
        </w:rPr>
        <w:t>、资金使用规范性</w:t>
      </w:r>
      <w:r>
        <w:rPr>
          <w:rFonts w:hint="default" w:ascii="仿宋_GB2312" w:hAnsi="仿宋_GB2312" w:eastAsia="仿宋_GB2312" w:cs="仿宋_GB2312"/>
          <w:color w:val="auto"/>
          <w:kern w:val="2"/>
          <w:sz w:val="32"/>
          <w:szCs w:val="32"/>
          <w:highlight w:val="none"/>
          <w:lang w:val="en-US" w:eastAsia="zh-CN" w:bidi="ar"/>
        </w:rPr>
        <w:t>；</w:t>
      </w:r>
      <w:r>
        <w:rPr>
          <w:rFonts w:hint="eastAsia" w:cs="仿宋_GB2312"/>
          <w:color w:val="auto"/>
          <w:kern w:val="2"/>
          <w:sz w:val="32"/>
          <w:szCs w:val="32"/>
          <w:highlight w:val="none"/>
          <w:lang w:val="en-US" w:eastAsia="zh-CN" w:bidi="ar"/>
        </w:rPr>
        <w:t>保障机制</w:t>
      </w:r>
      <w:r>
        <w:rPr>
          <w:rFonts w:hint="default" w:ascii="仿宋_GB2312" w:hAnsi="仿宋_GB2312" w:eastAsia="仿宋_GB2312" w:cs="仿宋_GB2312"/>
          <w:color w:val="auto"/>
          <w:kern w:val="2"/>
          <w:sz w:val="32"/>
          <w:szCs w:val="32"/>
          <w:highlight w:val="none"/>
          <w:lang w:val="en-US" w:eastAsia="zh-CN" w:bidi="ar"/>
        </w:rPr>
        <w:t>考察政策</w:t>
      </w:r>
      <w:r>
        <w:rPr>
          <w:rFonts w:hint="eastAsia" w:cs="仿宋_GB2312"/>
          <w:color w:val="auto"/>
          <w:kern w:val="2"/>
          <w:sz w:val="32"/>
          <w:szCs w:val="32"/>
          <w:highlight w:val="none"/>
          <w:lang w:val="en-US" w:eastAsia="zh-CN" w:bidi="ar"/>
        </w:rPr>
        <w:t>制度健全性、申报程序合规性、区级初审规范性和市级审核规范性</w:t>
      </w:r>
      <w:r>
        <w:rPr>
          <w:rFonts w:hint="default" w:ascii="仿宋_GB2312" w:hAnsi="仿宋_GB2312" w:eastAsia="仿宋_GB2312" w:cs="仿宋_GB2312"/>
          <w:color w:val="auto"/>
          <w:kern w:val="2"/>
          <w:sz w:val="32"/>
          <w:szCs w:val="32"/>
          <w:highlight w:val="none"/>
          <w:lang w:val="en-US" w:eastAsia="zh-CN" w:bidi="ar"/>
        </w:rPr>
        <w:t>。</w:t>
      </w:r>
    </w:p>
    <w:p>
      <w:pPr>
        <w:numPr>
          <w:ilvl w:val="0"/>
          <w:numId w:val="0"/>
        </w:numPr>
        <w:spacing w:line="600" w:lineRule="exact"/>
        <w:ind w:firstLine="640" w:firstLineChars="200"/>
        <w:rPr>
          <w:rFonts w:ascii="仿宋_GB2312" w:hAnsi="仿宋_GB2312" w:eastAsia="仿宋_GB2312" w:cs="仿宋_GB2312"/>
          <w:color w:val="auto"/>
          <w:sz w:val="32"/>
          <w:szCs w:val="40"/>
          <w:highlight w:val="none"/>
        </w:rPr>
      </w:pPr>
      <w:r>
        <w:rPr>
          <w:rFonts w:hint="eastAsia" w:cs="仿宋_GB2312"/>
          <w:color w:val="auto"/>
          <w:kern w:val="2"/>
          <w:sz w:val="32"/>
          <w:szCs w:val="32"/>
          <w:highlight w:val="none"/>
          <w:lang w:val="en-US" w:eastAsia="zh-CN" w:bidi="ar"/>
        </w:rPr>
        <w:t>（3）政策效果</w:t>
      </w:r>
      <w:r>
        <w:rPr>
          <w:rFonts w:hint="default" w:ascii="仿宋_GB2312" w:hAnsi="仿宋_GB2312" w:eastAsia="仿宋_GB2312" w:cs="仿宋_GB2312"/>
          <w:color w:val="auto"/>
          <w:kern w:val="2"/>
          <w:sz w:val="32"/>
          <w:szCs w:val="32"/>
          <w:highlight w:val="none"/>
          <w:lang w:val="en-US" w:eastAsia="zh-CN" w:bidi="ar"/>
        </w:rPr>
        <w:t>：占权重分</w:t>
      </w:r>
      <w:r>
        <w:rPr>
          <w:rFonts w:hint="eastAsia" w:cs="仿宋_GB2312"/>
          <w:color w:val="auto"/>
          <w:kern w:val="2"/>
          <w:sz w:val="32"/>
          <w:szCs w:val="32"/>
          <w:highlight w:val="none"/>
          <w:lang w:val="en-US" w:eastAsia="zh-CN" w:bidi="ar"/>
        </w:rPr>
        <w:t>60</w:t>
      </w:r>
      <w:r>
        <w:rPr>
          <w:rFonts w:hint="default" w:ascii="仿宋_GB2312" w:hAnsi="仿宋_GB2312" w:eastAsia="仿宋_GB2312" w:cs="仿宋_GB2312"/>
          <w:color w:val="auto"/>
          <w:kern w:val="2"/>
          <w:sz w:val="32"/>
          <w:szCs w:val="32"/>
          <w:highlight w:val="none"/>
          <w:lang w:val="en-US" w:eastAsia="zh-CN" w:bidi="ar"/>
        </w:rPr>
        <w:t>分，用于评价</w:t>
      </w:r>
      <w:r>
        <w:rPr>
          <w:rFonts w:hint="eastAsia" w:hAnsi="宋体" w:cs="仿宋_GB2312"/>
          <w:color w:val="auto"/>
          <w:kern w:val="0"/>
          <w:sz w:val="32"/>
          <w:szCs w:val="32"/>
          <w:highlight w:val="none"/>
          <w:lang w:val="en-US" w:eastAsia="zh-CN" w:bidi="ar"/>
        </w:rPr>
        <w:t>支持集成电路产业发展资金</w:t>
      </w:r>
      <w:r>
        <w:rPr>
          <w:rFonts w:hint="default" w:ascii="仿宋_GB2312" w:hAnsi="仿宋_GB2312" w:eastAsia="仿宋_GB2312" w:cs="仿宋_GB2312"/>
          <w:color w:val="auto"/>
          <w:kern w:val="2"/>
          <w:sz w:val="32"/>
          <w:szCs w:val="32"/>
          <w:highlight w:val="none"/>
          <w:lang w:val="en-US" w:eastAsia="zh-CN" w:bidi="ar"/>
        </w:rPr>
        <w:t>的产出</w:t>
      </w:r>
      <w:r>
        <w:rPr>
          <w:rFonts w:hint="eastAsia" w:cs="仿宋_GB2312"/>
          <w:color w:val="auto"/>
          <w:kern w:val="2"/>
          <w:sz w:val="32"/>
          <w:szCs w:val="32"/>
          <w:highlight w:val="none"/>
          <w:lang w:val="en-US" w:eastAsia="zh-CN" w:bidi="ar"/>
        </w:rPr>
        <w:t>和效益。其中，产出指标包括产出</w:t>
      </w:r>
      <w:r>
        <w:rPr>
          <w:rFonts w:hint="default" w:ascii="仿宋_GB2312" w:hAnsi="仿宋_GB2312" w:eastAsia="仿宋_GB2312" w:cs="仿宋_GB2312"/>
          <w:color w:val="auto"/>
          <w:kern w:val="2"/>
          <w:sz w:val="32"/>
          <w:szCs w:val="32"/>
          <w:highlight w:val="none"/>
          <w:lang w:val="en-US" w:eastAsia="zh-CN" w:bidi="ar"/>
        </w:rPr>
        <w:t>数量、产出质量、产出时效和产出成本</w:t>
      </w:r>
      <w:r>
        <w:rPr>
          <w:rFonts w:hint="eastAsia" w:cs="仿宋_GB2312"/>
          <w:color w:val="auto"/>
          <w:kern w:val="2"/>
          <w:sz w:val="32"/>
          <w:szCs w:val="32"/>
          <w:highlight w:val="none"/>
          <w:lang w:val="en-US" w:eastAsia="zh-CN" w:bidi="ar"/>
        </w:rPr>
        <w:t>，分别对应考察政策措施落实率、奖补企业相符性、主管部门材料审核及时性、政策成</w:t>
      </w:r>
      <w:r>
        <w:rPr>
          <w:rFonts w:hint="default" w:cs="仿宋_GB2312"/>
          <w:color w:val="auto"/>
          <w:kern w:val="2"/>
          <w:sz w:val="32"/>
          <w:szCs w:val="32"/>
          <w:highlight w:val="none"/>
          <w:lang w:val="en-US" w:eastAsia="zh-CN" w:bidi="ar"/>
        </w:rPr>
        <w:t>本可控性；效益指标包括经济效益、社会效益和可持续影响，</w:t>
      </w:r>
      <w:r>
        <w:rPr>
          <w:rFonts w:ascii="仿宋_GB2312" w:hAnsi="仿宋_GB2312" w:eastAsia="仿宋_GB2312" w:cs="仿宋_GB2312"/>
          <w:i w:val="0"/>
          <w:iCs w:val="0"/>
          <w:caps w:val="0"/>
          <w:color w:val="auto"/>
          <w:spacing w:val="0"/>
          <w:sz w:val="32"/>
          <w:szCs w:val="32"/>
          <w:highlight w:val="none"/>
          <w:shd w:val="clear" w:fill="auto"/>
          <w:lang w:bidi="ar"/>
        </w:rPr>
        <w:t>其中，经济效益主要体现为青岛市集成电路企业的</w:t>
      </w:r>
      <w:r>
        <w:rPr>
          <w:rFonts w:hint="eastAsia" w:cs="仿宋_GB2312"/>
          <w:i w:val="0"/>
          <w:iCs w:val="0"/>
          <w:caps w:val="0"/>
          <w:color w:val="auto"/>
          <w:spacing w:val="0"/>
          <w:sz w:val="32"/>
          <w:szCs w:val="32"/>
          <w:highlight w:val="none"/>
          <w:shd w:val="clear" w:fill="auto"/>
          <w:lang w:val="en-US" w:eastAsia="zh-CN" w:bidi="ar"/>
        </w:rPr>
        <w:t>营收</w:t>
      </w:r>
      <w:r>
        <w:rPr>
          <w:rFonts w:ascii="仿宋_GB2312" w:hAnsi="仿宋_GB2312" w:eastAsia="仿宋_GB2312" w:cs="仿宋_GB2312"/>
          <w:i w:val="0"/>
          <w:iCs w:val="0"/>
          <w:caps w:val="0"/>
          <w:color w:val="auto"/>
          <w:spacing w:val="0"/>
          <w:sz w:val="32"/>
          <w:szCs w:val="32"/>
          <w:highlight w:val="none"/>
          <w:shd w:val="clear" w:fill="auto"/>
          <w:lang w:bidi="ar"/>
        </w:rPr>
        <w:t>增长和税收贡献；社会效益重点</w:t>
      </w:r>
      <w:r>
        <w:rPr>
          <w:rFonts w:hint="default" w:ascii="仿宋_GB2312" w:hAnsi="仿宋_GB2312" w:eastAsia="仿宋_GB2312" w:cs="仿宋_GB2312"/>
          <w:i w:val="0"/>
          <w:iCs w:val="0"/>
          <w:caps w:val="0"/>
          <w:color w:val="auto"/>
          <w:spacing w:val="0"/>
          <w:sz w:val="32"/>
          <w:szCs w:val="32"/>
          <w:highlight w:val="none"/>
          <w:shd w:val="clear" w:fill="auto"/>
          <w:lang w:val="en-US" w:eastAsia="zh-CN" w:bidi="ar"/>
        </w:rPr>
        <w:t>评估</w:t>
      </w:r>
      <w:r>
        <w:rPr>
          <w:rFonts w:ascii="仿宋_GB2312" w:hAnsi="仿宋_GB2312" w:eastAsia="仿宋_GB2312" w:cs="仿宋_GB2312"/>
          <w:i w:val="0"/>
          <w:iCs w:val="0"/>
          <w:caps w:val="0"/>
          <w:color w:val="auto"/>
          <w:spacing w:val="0"/>
          <w:sz w:val="32"/>
          <w:szCs w:val="32"/>
          <w:highlight w:val="none"/>
          <w:shd w:val="clear" w:fill="auto"/>
          <w:lang w:bidi="ar"/>
        </w:rPr>
        <w:t>产业高端人才集聚效应以及第三方服务平台对企业发展的支撑作用；可持续影响则着重分析产业集群培育成效及后续政策支持措施的延续性</w:t>
      </w:r>
      <w:r>
        <w:rPr>
          <w:rFonts w:hint="default" w:cs="仿宋_GB2312"/>
          <w:color w:val="auto"/>
          <w:kern w:val="2"/>
          <w:sz w:val="32"/>
          <w:szCs w:val="32"/>
          <w:highlight w:val="none"/>
          <w:lang w:val="en-US" w:eastAsia="zh-CN" w:bidi="ar"/>
        </w:rPr>
        <w:t>；</w:t>
      </w:r>
      <w:r>
        <w:rPr>
          <w:rFonts w:hint="default" w:ascii="仿宋_GB2312" w:hAnsi="仿宋_GB2312" w:eastAsia="仿宋_GB2312" w:cs="仿宋_GB2312"/>
          <w:color w:val="auto"/>
          <w:kern w:val="2"/>
          <w:sz w:val="32"/>
          <w:szCs w:val="32"/>
          <w:highlight w:val="none"/>
          <w:lang w:val="en-US" w:eastAsia="zh-CN" w:bidi="ar"/>
        </w:rPr>
        <w:t>满意度考察</w:t>
      </w:r>
      <w:r>
        <w:rPr>
          <w:rFonts w:hint="eastAsia" w:cs="仿宋_GB2312"/>
          <w:color w:val="auto"/>
          <w:kern w:val="2"/>
          <w:sz w:val="32"/>
          <w:szCs w:val="32"/>
          <w:highlight w:val="none"/>
          <w:lang w:val="en-US" w:eastAsia="zh-CN" w:bidi="ar"/>
        </w:rPr>
        <w:t>集成电路</w:t>
      </w:r>
      <w:r>
        <w:rPr>
          <w:rFonts w:hint="default" w:ascii="仿宋_GB2312" w:hAnsi="仿宋_GB2312" w:eastAsia="仿宋_GB2312" w:cs="仿宋_GB2312"/>
          <w:color w:val="auto"/>
          <w:kern w:val="2"/>
          <w:sz w:val="32"/>
          <w:szCs w:val="32"/>
          <w:highlight w:val="none"/>
          <w:lang w:val="en-US" w:eastAsia="zh-CN" w:bidi="ar"/>
        </w:rPr>
        <w:t>企业满意度。</w:t>
      </w:r>
    </w:p>
    <w:p>
      <w:p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sz w:val="32"/>
          <w:szCs w:val="40"/>
          <w:highlight w:val="none"/>
        </w:rPr>
        <w:t>4.评价标准</w:t>
      </w:r>
    </w:p>
    <w:p>
      <w:pPr>
        <w:pageBreakBefore w:val="0"/>
        <w:widowControl w:val="0"/>
        <w:kinsoku/>
        <w:wordWrap/>
        <w:overflowPunct w:val="0"/>
        <w:topLinePunct w:val="0"/>
        <w:autoSpaceDE/>
        <w:autoSpaceDN/>
        <w:bidi w:val="0"/>
        <w:ind w:firstLine="640"/>
        <w:rPr>
          <w:rFonts w:hint="eastAsia"/>
          <w:color w:val="auto"/>
          <w:highlight w:val="none"/>
          <w:lang w:eastAsia="zh-CN"/>
        </w:rPr>
      </w:pPr>
      <w:r>
        <w:rPr>
          <w:rFonts w:hint="eastAsia"/>
          <w:color w:val="auto"/>
          <w:highlight w:val="none"/>
          <w:lang w:eastAsia="zh-CN"/>
        </w:rPr>
        <w:t>采用评分和评级相结合的方式，总分设置为100分，分值和对应等级划分为四档：90（含）—100分为优，80（含）—90分为良，60（含）—80分为中，60分以下为差。</w:t>
      </w:r>
    </w:p>
    <w:p>
      <w:pPr>
        <w:pStyle w:val="3"/>
        <w:bidi w:val="0"/>
        <w:rPr>
          <w:rFonts w:hint="eastAsia" w:ascii="仿宋_GB2312" w:hAnsi="仿宋_GB2312" w:eastAsia="仿宋_GB2312" w:cs="仿宋_GB2312"/>
          <w:color w:val="auto"/>
          <w:sz w:val="32"/>
          <w:szCs w:val="40"/>
          <w:highlight w:val="none"/>
        </w:rPr>
      </w:pPr>
      <w:bookmarkStart w:id="47" w:name="_Toc15440"/>
      <w:bookmarkStart w:id="48" w:name="_Toc3676"/>
      <w:bookmarkStart w:id="49" w:name="_Toc4231"/>
      <w:bookmarkStart w:id="50" w:name="_Toc16"/>
      <w:bookmarkStart w:id="51" w:name="_Toc18577"/>
      <w:r>
        <w:rPr>
          <w:rFonts w:hint="eastAsia"/>
          <w:color w:val="auto"/>
          <w:highlight w:val="none"/>
        </w:rPr>
        <w:t>（三）评价组织实施与评价方法</w:t>
      </w:r>
      <w:bookmarkEnd w:id="47"/>
      <w:bookmarkEnd w:id="48"/>
      <w:bookmarkEnd w:id="49"/>
      <w:bookmarkEnd w:id="50"/>
      <w:bookmarkEnd w:id="51"/>
    </w:p>
    <w:p>
      <w:pPr>
        <w:spacing w:line="600" w:lineRule="exact"/>
        <w:ind w:firstLine="643" w:firstLineChars="200"/>
        <w:rPr>
          <w:rFonts w:hint="default" w:cs="仿宋_GB2312"/>
          <w:b/>
          <w:bCs/>
          <w:color w:val="auto"/>
          <w:highlight w:val="none"/>
          <w:lang w:val="en-US" w:eastAsia="zh-CN"/>
        </w:rPr>
      </w:pPr>
      <w:r>
        <w:rPr>
          <w:rFonts w:hint="eastAsia" w:cs="仿宋_GB2312"/>
          <w:b/>
          <w:bCs/>
          <w:color w:val="auto"/>
          <w:highlight w:val="none"/>
          <w:lang w:val="en-US" w:eastAsia="zh-CN"/>
        </w:rPr>
        <w:t>1.评价组织实施</w:t>
      </w:r>
    </w:p>
    <w:p>
      <w:pPr>
        <w:spacing w:line="600" w:lineRule="exact"/>
        <w:ind w:firstLine="640" w:firstLineChars="200"/>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highlight w:val="none"/>
          <w:lang w:val="en-US" w:eastAsia="zh-CN"/>
        </w:rPr>
        <w:t>本次绩效评价主要分为前期准备、组织实施、绩效评价报告撰写与提交、档案归集等4个阶段。</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outlineLvl w:val="9"/>
        <w:rPr>
          <w:rFonts w:hint="default" w:ascii="仿宋_GB2312" w:hAnsi="仿宋_GB2312" w:eastAsia="仿宋_GB2312" w:cs="仿宋_GB2312"/>
          <w:snapToGrid w:val="0"/>
          <w:color w:val="auto"/>
          <w:kern w:val="0"/>
          <w:sz w:val="32"/>
          <w:szCs w:val="32"/>
          <w:highlight w:val="none"/>
          <w:u w:val="none"/>
          <w:shd w:val="clear" w:color="auto" w:fill="auto"/>
          <w:lang w:val="en-US" w:eastAsia="zh-CN" w:bidi="ar-SA"/>
        </w:rPr>
      </w:pPr>
      <w:bookmarkStart w:id="52" w:name="_Toc22642"/>
      <w:bookmarkStart w:id="53" w:name="_Toc7040"/>
      <w:r>
        <w:rPr>
          <w:rFonts w:hint="eastAsia" w:cs="仿宋_GB2312"/>
          <w:snapToGrid w:val="0"/>
          <w:color w:val="auto"/>
          <w:kern w:val="0"/>
          <w:sz w:val="32"/>
          <w:szCs w:val="32"/>
          <w:highlight w:val="none"/>
          <w:u w:val="none"/>
          <w:shd w:val="clear" w:color="auto" w:fill="auto"/>
          <w:lang w:val="zh-CN" w:eastAsia="zh-CN" w:bidi="ar-SA"/>
        </w:rPr>
        <w:t>（</w:t>
      </w:r>
      <w:r>
        <w:rPr>
          <w:rFonts w:hint="eastAsia" w:cs="仿宋_GB2312"/>
          <w:snapToGrid w:val="0"/>
          <w:color w:val="auto"/>
          <w:kern w:val="0"/>
          <w:sz w:val="32"/>
          <w:szCs w:val="32"/>
          <w:highlight w:val="none"/>
          <w:u w:val="none"/>
          <w:shd w:val="clear" w:color="auto" w:fill="auto"/>
          <w:lang w:val="en-US" w:eastAsia="zh-CN" w:bidi="ar-SA"/>
        </w:rPr>
        <w:t>1</w:t>
      </w:r>
      <w:r>
        <w:rPr>
          <w:rFonts w:hint="eastAsia" w:cs="仿宋_GB2312"/>
          <w:snapToGrid w:val="0"/>
          <w:color w:val="auto"/>
          <w:kern w:val="0"/>
          <w:sz w:val="32"/>
          <w:szCs w:val="32"/>
          <w:highlight w:val="none"/>
          <w:u w:val="none"/>
          <w:shd w:val="clear" w:color="auto" w:fill="auto"/>
          <w:lang w:val="zh-CN" w:eastAsia="zh-CN" w:bidi="ar-SA"/>
        </w:rPr>
        <w:t>）</w:t>
      </w:r>
      <w:r>
        <w:rPr>
          <w:rFonts w:hint="eastAsia" w:ascii="仿宋_GB2312" w:hAnsi="仿宋_GB2312" w:eastAsia="仿宋_GB2312" w:cs="仿宋_GB2312"/>
          <w:snapToGrid w:val="0"/>
          <w:color w:val="auto"/>
          <w:kern w:val="0"/>
          <w:sz w:val="32"/>
          <w:szCs w:val="32"/>
          <w:highlight w:val="none"/>
          <w:u w:val="none"/>
          <w:shd w:val="clear" w:color="auto" w:fill="auto"/>
          <w:lang w:val="en-US" w:eastAsia="zh-CN" w:bidi="ar-SA"/>
        </w:rPr>
        <w:t>前期准备</w:t>
      </w:r>
      <w:bookmarkEnd w:id="52"/>
      <w:bookmarkEnd w:id="53"/>
      <w:r>
        <w:rPr>
          <w:rFonts w:hint="eastAsia" w:cs="仿宋_GB2312"/>
          <w:snapToGrid w:val="0"/>
          <w:color w:val="auto"/>
          <w:kern w:val="0"/>
          <w:sz w:val="32"/>
          <w:szCs w:val="32"/>
          <w:highlight w:val="none"/>
          <w:u w:val="none"/>
          <w:shd w:val="clear" w:color="auto" w:fill="auto"/>
          <w:lang w:val="en-US" w:eastAsia="zh-CN" w:bidi="ar-SA"/>
        </w:rPr>
        <w:t>阶段</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pPr>
      <w:r>
        <w:rPr>
          <w:rFonts w:hint="eastAsia" w:cs="仿宋_GB2312"/>
          <w:snapToGrid w:val="0"/>
          <w:color w:val="auto"/>
          <w:kern w:val="0"/>
          <w:sz w:val="32"/>
          <w:szCs w:val="32"/>
          <w:highlight w:val="none"/>
          <w:u w:val="none"/>
          <w:shd w:val="clear" w:color="auto" w:fill="auto"/>
          <w:lang w:val="en-US" w:eastAsia="zh-CN" w:bidi="ar-SA"/>
        </w:rPr>
        <w:t>第一时间成立评价工作组，并与</w:t>
      </w:r>
      <w:r>
        <w:rPr>
          <w:rFonts w:hint="eastAsia" w:cs="仿宋_GB2312"/>
          <w:snapToGrid w:val="0"/>
          <w:color w:val="auto"/>
          <w:kern w:val="0"/>
          <w:sz w:val="32"/>
          <w:szCs w:val="32"/>
          <w:highlight w:val="none"/>
          <w:u w:val="none"/>
          <w:shd w:val="clear" w:color="auto" w:fill="auto"/>
          <w:lang w:val="zh-CN" w:eastAsia="zh-CN" w:bidi="ar-SA"/>
        </w:rPr>
        <w:t>市财政局、市财政事务服务中心</w:t>
      </w:r>
      <w:r>
        <w:rPr>
          <w:rFonts w:hint="eastAsia" w:cs="仿宋_GB2312"/>
          <w:snapToGrid w:val="0"/>
          <w:color w:val="auto"/>
          <w:kern w:val="0"/>
          <w:sz w:val="32"/>
          <w:szCs w:val="32"/>
          <w:highlight w:val="none"/>
          <w:u w:val="none"/>
          <w:shd w:val="clear" w:color="auto" w:fill="auto"/>
          <w:lang w:val="en-US" w:eastAsia="zh-CN" w:bidi="ar-SA"/>
        </w:rPr>
        <w:t>和市工业和信息化局进行对接，了解项目情况，制定评价实施方案初稿（含调查问卷、指标体系、资料清单等），征求</w:t>
      </w:r>
      <w:r>
        <w:rPr>
          <w:rFonts w:hint="eastAsia" w:cs="仿宋_GB2312"/>
          <w:snapToGrid w:val="0"/>
          <w:color w:val="auto"/>
          <w:kern w:val="0"/>
          <w:sz w:val="32"/>
          <w:szCs w:val="32"/>
          <w:highlight w:val="none"/>
          <w:u w:val="none"/>
          <w:shd w:val="clear" w:color="auto" w:fill="auto"/>
          <w:lang w:val="zh-CN" w:eastAsia="zh-CN" w:bidi="ar-SA"/>
        </w:rPr>
        <w:t>市财政局、市财政事务服务中心</w:t>
      </w:r>
      <w:r>
        <w:rPr>
          <w:rFonts w:hint="eastAsia" w:cs="仿宋_GB2312"/>
          <w:snapToGrid w:val="0"/>
          <w:color w:val="auto"/>
          <w:kern w:val="0"/>
          <w:sz w:val="32"/>
          <w:szCs w:val="32"/>
          <w:highlight w:val="none"/>
          <w:u w:val="none"/>
          <w:shd w:val="clear" w:color="auto" w:fill="auto"/>
          <w:lang w:val="en-US" w:eastAsia="zh-CN" w:bidi="ar-SA"/>
        </w:rPr>
        <w:t>和市工业和信息化局及有关专家的意见建议，修改完善后形成最终方案。</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outlineLvl w:val="9"/>
        <w:rPr>
          <w:rFonts w:hint="default" w:ascii="仿宋_GB2312" w:hAnsi="仿宋_GB2312" w:eastAsia="仿宋_GB2312" w:cs="仿宋_GB2312"/>
          <w:snapToGrid w:val="0"/>
          <w:color w:val="auto"/>
          <w:kern w:val="0"/>
          <w:sz w:val="32"/>
          <w:szCs w:val="32"/>
          <w:highlight w:val="none"/>
          <w:u w:val="none"/>
          <w:shd w:val="clear" w:color="auto" w:fill="auto"/>
          <w:lang w:val="en-US" w:eastAsia="zh-CN" w:bidi="ar-SA"/>
        </w:rPr>
      </w:pPr>
      <w:bookmarkStart w:id="54" w:name="_Toc3161"/>
      <w:bookmarkStart w:id="55" w:name="_Toc30628"/>
      <w:r>
        <w:rPr>
          <w:rFonts w:hint="eastAsia" w:cs="仿宋_GB2312"/>
          <w:snapToGrid w:val="0"/>
          <w:color w:val="auto"/>
          <w:kern w:val="0"/>
          <w:sz w:val="32"/>
          <w:szCs w:val="32"/>
          <w:highlight w:val="none"/>
          <w:u w:val="none"/>
          <w:shd w:val="clear" w:color="auto" w:fill="auto"/>
          <w:lang w:val="zh-CN" w:eastAsia="zh-CN" w:bidi="ar-SA"/>
        </w:rPr>
        <w:t>（</w:t>
      </w:r>
      <w:r>
        <w:rPr>
          <w:rFonts w:hint="eastAsia" w:cs="仿宋_GB2312"/>
          <w:snapToGrid w:val="0"/>
          <w:color w:val="auto"/>
          <w:kern w:val="0"/>
          <w:sz w:val="32"/>
          <w:szCs w:val="32"/>
          <w:highlight w:val="none"/>
          <w:u w:val="none"/>
          <w:shd w:val="clear" w:color="auto" w:fill="auto"/>
          <w:lang w:val="en-US" w:eastAsia="zh-CN" w:bidi="ar-SA"/>
        </w:rPr>
        <w:t>2</w:t>
      </w:r>
      <w:r>
        <w:rPr>
          <w:rFonts w:hint="eastAsia" w:cs="仿宋_GB2312"/>
          <w:snapToGrid w:val="0"/>
          <w:color w:val="auto"/>
          <w:kern w:val="0"/>
          <w:sz w:val="32"/>
          <w:szCs w:val="32"/>
          <w:highlight w:val="none"/>
          <w:u w:val="none"/>
          <w:shd w:val="clear" w:color="auto" w:fill="auto"/>
          <w:lang w:val="zh-CN" w:eastAsia="zh-CN" w:bidi="ar-SA"/>
        </w:rPr>
        <w:t>）</w:t>
      </w:r>
      <w:r>
        <w:rPr>
          <w:rFonts w:hint="eastAsia" w:ascii="仿宋_GB2312" w:hAnsi="仿宋_GB2312" w:eastAsia="仿宋_GB2312" w:cs="仿宋_GB2312"/>
          <w:snapToGrid w:val="0"/>
          <w:color w:val="auto"/>
          <w:kern w:val="0"/>
          <w:sz w:val="32"/>
          <w:szCs w:val="32"/>
          <w:highlight w:val="none"/>
          <w:u w:val="none"/>
          <w:shd w:val="clear" w:color="auto" w:fill="auto"/>
          <w:lang w:val="en-US" w:eastAsia="zh-CN" w:bidi="ar-SA"/>
        </w:rPr>
        <w:t>组织实施</w:t>
      </w:r>
      <w:bookmarkEnd w:id="54"/>
      <w:bookmarkEnd w:id="55"/>
      <w:r>
        <w:rPr>
          <w:rFonts w:hint="eastAsia" w:cs="仿宋_GB2312"/>
          <w:snapToGrid w:val="0"/>
          <w:color w:val="auto"/>
          <w:kern w:val="0"/>
          <w:sz w:val="32"/>
          <w:szCs w:val="32"/>
          <w:highlight w:val="none"/>
          <w:u w:val="none"/>
          <w:shd w:val="clear" w:color="auto" w:fill="auto"/>
          <w:lang w:val="en-US" w:eastAsia="zh-CN" w:bidi="ar-SA"/>
        </w:rPr>
        <w:t>阶段</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rPr>
          <w:rFonts w:hint="eastAsia" w:cs="仿宋_GB2312"/>
          <w:snapToGrid w:val="0"/>
          <w:color w:val="auto"/>
          <w:kern w:val="0"/>
          <w:sz w:val="32"/>
          <w:szCs w:val="32"/>
          <w:highlight w:val="none"/>
          <w:u w:val="none"/>
          <w:shd w:val="clear" w:color="auto" w:fill="auto"/>
          <w:lang w:val="zh-CN" w:eastAsia="zh-CN" w:bidi="ar-SA"/>
        </w:rPr>
      </w:pPr>
      <w:r>
        <w:rPr>
          <w:rFonts w:hint="eastAsia" w:cs="仿宋_GB2312"/>
          <w:snapToGrid w:val="0"/>
          <w:color w:val="auto"/>
          <w:kern w:val="0"/>
          <w:sz w:val="32"/>
          <w:szCs w:val="32"/>
          <w:highlight w:val="none"/>
          <w:u w:val="none"/>
          <w:shd w:val="clear" w:color="auto" w:fill="auto"/>
          <w:lang w:val="en-US" w:eastAsia="zh-CN" w:bidi="ar-SA"/>
        </w:rPr>
        <w:t>①非现场评价环节。2024年6月6日，</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向</w:t>
      </w:r>
      <w:r>
        <w:rPr>
          <w:rFonts w:hint="eastAsia" w:cs="仿宋_GB2312"/>
          <w:snapToGrid w:val="0"/>
          <w:color w:val="auto"/>
          <w:kern w:val="0"/>
          <w:sz w:val="32"/>
          <w:szCs w:val="32"/>
          <w:highlight w:val="none"/>
          <w:u w:val="none"/>
          <w:shd w:val="clear" w:color="auto" w:fill="auto"/>
          <w:lang w:val="en-US" w:eastAsia="zh-CN" w:bidi="ar-SA"/>
        </w:rPr>
        <w:t>市工业和信息化局</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和</w:t>
      </w:r>
      <w:r>
        <w:rPr>
          <w:rFonts w:hint="eastAsia" w:cs="仿宋_GB2312"/>
          <w:snapToGrid w:val="0"/>
          <w:color w:val="auto"/>
          <w:kern w:val="0"/>
          <w:sz w:val="32"/>
          <w:szCs w:val="32"/>
          <w:highlight w:val="none"/>
          <w:u w:val="none"/>
          <w:shd w:val="clear" w:color="auto" w:fill="auto"/>
          <w:lang w:val="en-US" w:eastAsia="zh-CN" w:bidi="ar-SA"/>
        </w:rPr>
        <w:t>全市集成电路企业</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下达绩效评价通知，收集</w:t>
      </w:r>
      <w:r>
        <w:rPr>
          <w:rFonts w:hint="eastAsia" w:cs="仿宋_GB2312"/>
          <w:snapToGrid w:val="0"/>
          <w:color w:val="auto"/>
          <w:kern w:val="0"/>
          <w:sz w:val="32"/>
          <w:szCs w:val="32"/>
          <w:highlight w:val="none"/>
          <w:u w:val="none"/>
          <w:shd w:val="clear" w:color="auto" w:fill="auto"/>
          <w:lang w:val="en-US" w:eastAsia="zh-CN" w:bidi="ar-SA"/>
        </w:rPr>
        <w:t>汇总</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政策申报、</w:t>
      </w:r>
      <w:r>
        <w:rPr>
          <w:rFonts w:hint="eastAsia" w:cs="仿宋_GB2312"/>
          <w:snapToGrid w:val="0"/>
          <w:color w:val="auto"/>
          <w:kern w:val="0"/>
          <w:sz w:val="32"/>
          <w:szCs w:val="32"/>
          <w:highlight w:val="none"/>
          <w:u w:val="none"/>
          <w:shd w:val="clear" w:color="auto" w:fill="auto"/>
          <w:lang w:val="en-US" w:eastAsia="zh-CN" w:bidi="ar-SA"/>
        </w:rPr>
        <w:t>审核遴选、过程管理</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等资料</w:t>
      </w:r>
      <w:r>
        <w:rPr>
          <w:rFonts w:hint="eastAsia" w:cs="仿宋_GB2312"/>
          <w:snapToGrid w:val="0"/>
          <w:color w:val="auto"/>
          <w:kern w:val="0"/>
          <w:sz w:val="32"/>
          <w:szCs w:val="32"/>
          <w:highlight w:val="none"/>
          <w:u w:val="none"/>
          <w:shd w:val="clear" w:color="auto" w:fill="auto"/>
          <w:lang w:val="zh-CN" w:eastAsia="zh-CN" w:bidi="ar-SA"/>
        </w:rPr>
        <w:t>，</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以及</w:t>
      </w:r>
      <w:r>
        <w:rPr>
          <w:rFonts w:hint="eastAsia" w:cs="仿宋_GB2312"/>
          <w:snapToGrid w:val="0"/>
          <w:color w:val="auto"/>
          <w:kern w:val="0"/>
          <w:sz w:val="32"/>
          <w:szCs w:val="32"/>
          <w:highlight w:val="none"/>
          <w:u w:val="none"/>
          <w:shd w:val="clear" w:color="auto" w:fill="auto"/>
          <w:lang w:val="en-US" w:eastAsia="zh-CN" w:bidi="ar-SA"/>
        </w:rPr>
        <w:t>全市集成电路企业经营生产、创新研发、人才招引</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等</w:t>
      </w:r>
      <w:r>
        <w:rPr>
          <w:rFonts w:hint="eastAsia" w:cs="仿宋_GB2312"/>
          <w:snapToGrid w:val="0"/>
          <w:color w:val="auto"/>
          <w:kern w:val="0"/>
          <w:sz w:val="32"/>
          <w:szCs w:val="32"/>
          <w:highlight w:val="none"/>
          <w:u w:val="none"/>
          <w:shd w:val="clear" w:color="auto" w:fill="auto"/>
          <w:lang w:val="en-US" w:eastAsia="zh-CN" w:bidi="ar-SA"/>
        </w:rPr>
        <w:t>方面的佐证</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资料，</w:t>
      </w:r>
      <w:r>
        <w:rPr>
          <w:rFonts w:hint="eastAsia" w:cs="仿宋_GB2312"/>
          <w:snapToGrid w:val="0"/>
          <w:color w:val="auto"/>
          <w:kern w:val="0"/>
          <w:sz w:val="32"/>
          <w:szCs w:val="32"/>
          <w:highlight w:val="none"/>
          <w:u w:val="none"/>
          <w:shd w:val="clear" w:color="auto" w:fill="auto"/>
          <w:lang w:val="en-US" w:eastAsia="zh-CN" w:bidi="ar-SA"/>
        </w:rPr>
        <w:t>整理形成</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基础数据收集表</w:t>
      </w:r>
      <w:r>
        <w:rPr>
          <w:rFonts w:hint="eastAsia" w:cs="仿宋_GB2312"/>
          <w:snapToGrid w:val="0"/>
          <w:color w:val="auto"/>
          <w:kern w:val="0"/>
          <w:sz w:val="32"/>
          <w:szCs w:val="32"/>
          <w:highlight w:val="none"/>
          <w:u w:val="none"/>
          <w:shd w:val="clear" w:color="auto" w:fill="auto"/>
          <w:lang w:val="zh-CN" w:eastAsia="zh-CN" w:bidi="ar-SA"/>
        </w:rPr>
        <w:t>。</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rPr>
          <w:rFonts w:hint="default" w:ascii="仿宋_GB2312" w:hAnsi="仿宋_GB2312" w:eastAsia="仿宋_GB2312" w:cs="仿宋_GB2312"/>
          <w:snapToGrid w:val="0"/>
          <w:color w:val="auto"/>
          <w:kern w:val="0"/>
          <w:sz w:val="32"/>
          <w:szCs w:val="32"/>
          <w:highlight w:val="none"/>
          <w:u w:val="none"/>
          <w:shd w:val="clear" w:color="auto" w:fill="auto"/>
          <w:lang w:val="en-US" w:eastAsia="zh-CN" w:bidi="ar-SA"/>
        </w:rPr>
      </w:pPr>
      <w:r>
        <w:rPr>
          <w:rFonts w:hint="eastAsia" w:cs="仿宋_GB2312"/>
          <w:snapToGrid w:val="0"/>
          <w:color w:val="auto"/>
          <w:kern w:val="0"/>
          <w:sz w:val="32"/>
          <w:szCs w:val="32"/>
          <w:highlight w:val="none"/>
          <w:u w:val="none"/>
          <w:shd w:val="clear" w:color="auto" w:fill="auto"/>
          <w:lang w:val="en-US" w:eastAsia="zh-CN" w:bidi="ar-SA"/>
        </w:rPr>
        <w:t>②现场评价环节。2024年6月18日，评价组根据前期资料收集整理情况，组织市工业和信息化局相关业务处室负责同志和6家受奖企业负责人召开座谈会，</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开展现场评价，形成访谈记录、调查数据和工作底稿等。汇总分析评价调研的资料，形成绩效评价分析结果、评价结论、经验和建议。</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outlineLvl w:val="9"/>
        <w:rPr>
          <w:rFonts w:hint="default" w:ascii="仿宋_GB2312" w:hAnsi="仿宋_GB2312" w:eastAsia="仿宋_GB2312" w:cs="仿宋_GB2312"/>
          <w:snapToGrid w:val="0"/>
          <w:color w:val="auto"/>
          <w:kern w:val="0"/>
          <w:sz w:val="32"/>
          <w:szCs w:val="32"/>
          <w:highlight w:val="none"/>
          <w:u w:val="none"/>
          <w:shd w:val="clear" w:color="auto" w:fill="auto"/>
          <w:lang w:val="en-US" w:eastAsia="zh-CN" w:bidi="ar-SA"/>
        </w:rPr>
      </w:pPr>
      <w:bookmarkStart w:id="56" w:name="_Toc28794"/>
      <w:bookmarkStart w:id="57" w:name="_Toc21654"/>
      <w:r>
        <w:rPr>
          <w:rFonts w:hint="eastAsia" w:cs="仿宋_GB2312"/>
          <w:snapToGrid w:val="0"/>
          <w:color w:val="auto"/>
          <w:kern w:val="0"/>
          <w:sz w:val="32"/>
          <w:szCs w:val="32"/>
          <w:highlight w:val="none"/>
          <w:u w:val="none"/>
          <w:shd w:val="clear" w:color="auto" w:fill="auto"/>
          <w:lang w:val="en-US" w:eastAsia="zh-CN" w:bidi="ar-SA"/>
        </w:rPr>
        <w:t>（3）</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撰写</w:t>
      </w:r>
      <w:r>
        <w:rPr>
          <w:rFonts w:hint="eastAsia" w:ascii="仿宋_GB2312" w:hAnsi="仿宋_GB2312" w:eastAsia="仿宋_GB2312" w:cs="仿宋_GB2312"/>
          <w:snapToGrid w:val="0"/>
          <w:color w:val="auto"/>
          <w:kern w:val="0"/>
          <w:sz w:val="32"/>
          <w:szCs w:val="32"/>
          <w:highlight w:val="none"/>
          <w:u w:val="none"/>
          <w:shd w:val="clear" w:color="auto" w:fill="auto"/>
          <w:lang w:val="en-US" w:eastAsia="zh-CN" w:bidi="ar-SA"/>
        </w:rPr>
        <w:t>与提交评价</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报告</w:t>
      </w:r>
      <w:bookmarkEnd w:id="56"/>
      <w:bookmarkEnd w:id="57"/>
      <w:r>
        <w:rPr>
          <w:rFonts w:hint="eastAsia" w:cs="仿宋_GB2312"/>
          <w:snapToGrid w:val="0"/>
          <w:color w:val="auto"/>
          <w:kern w:val="0"/>
          <w:sz w:val="32"/>
          <w:szCs w:val="32"/>
          <w:highlight w:val="none"/>
          <w:u w:val="none"/>
          <w:shd w:val="clear" w:color="auto" w:fill="auto"/>
          <w:lang w:val="en-US" w:eastAsia="zh-CN" w:bidi="ar-SA"/>
        </w:rPr>
        <w:t>阶段</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outlineLvl w:val="9"/>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pPr>
      <w:bookmarkStart w:id="58" w:name="_Toc14647"/>
      <w:bookmarkStart w:id="59" w:name="_Toc16295"/>
      <w:r>
        <w:rPr>
          <w:rFonts w:hint="eastAsia" w:cs="仿宋_GB2312"/>
          <w:snapToGrid w:val="0"/>
          <w:color w:val="auto"/>
          <w:kern w:val="0"/>
          <w:sz w:val="32"/>
          <w:szCs w:val="32"/>
          <w:highlight w:val="none"/>
          <w:u w:val="none"/>
          <w:shd w:val="clear" w:color="auto" w:fill="auto"/>
          <w:lang w:val="en-US" w:eastAsia="zh-CN" w:bidi="ar-SA"/>
        </w:rPr>
        <w:t>评价组及时</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向市财政局、</w:t>
      </w:r>
      <w:r>
        <w:rPr>
          <w:rFonts w:hint="eastAsia" w:cs="仿宋_GB2312"/>
          <w:snapToGrid w:val="0"/>
          <w:color w:val="auto"/>
          <w:kern w:val="0"/>
          <w:sz w:val="32"/>
          <w:szCs w:val="32"/>
          <w:highlight w:val="none"/>
          <w:u w:val="none"/>
          <w:shd w:val="clear" w:color="auto" w:fill="auto"/>
          <w:lang w:val="zh-CN" w:eastAsia="zh-CN" w:bidi="ar-SA"/>
        </w:rPr>
        <w:t>市财政事务服务中心</w:t>
      </w:r>
      <w:r>
        <w:rPr>
          <w:rFonts w:hint="eastAsia" w:cs="仿宋_GB2312"/>
          <w:snapToGrid w:val="0"/>
          <w:color w:val="auto"/>
          <w:kern w:val="0"/>
          <w:sz w:val="32"/>
          <w:szCs w:val="32"/>
          <w:highlight w:val="none"/>
          <w:u w:val="none"/>
          <w:shd w:val="clear" w:color="auto" w:fill="auto"/>
          <w:lang w:val="en-US" w:eastAsia="zh-CN" w:bidi="ar-SA"/>
        </w:rPr>
        <w:t>和市工业和信息化局</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反馈评价情况并征求意见</w:t>
      </w:r>
      <w:r>
        <w:rPr>
          <w:rFonts w:hint="eastAsia" w:cs="仿宋_GB2312"/>
          <w:snapToGrid w:val="0"/>
          <w:color w:val="auto"/>
          <w:kern w:val="0"/>
          <w:sz w:val="32"/>
          <w:szCs w:val="32"/>
          <w:highlight w:val="none"/>
          <w:u w:val="none"/>
          <w:shd w:val="clear" w:color="auto" w:fill="auto"/>
          <w:lang w:val="zh-CN" w:eastAsia="zh-CN" w:bidi="ar-SA"/>
        </w:rPr>
        <w:t>，</w:t>
      </w:r>
      <w:r>
        <w:rPr>
          <w:rFonts w:hint="eastAsia" w:cs="仿宋_GB2312"/>
          <w:snapToGrid w:val="0"/>
          <w:color w:val="auto"/>
          <w:kern w:val="0"/>
          <w:sz w:val="32"/>
          <w:szCs w:val="32"/>
          <w:highlight w:val="none"/>
          <w:u w:val="none"/>
          <w:shd w:val="clear" w:color="auto" w:fill="auto"/>
          <w:lang w:val="en-US" w:eastAsia="zh-CN" w:bidi="ar-SA"/>
        </w:rPr>
        <w:t>于2024年7月10完成</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绩效评价报告初稿</w:t>
      </w:r>
      <w:r>
        <w:rPr>
          <w:rFonts w:hint="eastAsia" w:cs="仿宋_GB2312"/>
          <w:snapToGrid w:val="0"/>
          <w:color w:val="auto"/>
          <w:kern w:val="0"/>
          <w:sz w:val="32"/>
          <w:szCs w:val="32"/>
          <w:highlight w:val="none"/>
          <w:u w:val="none"/>
          <w:shd w:val="clear" w:color="auto" w:fill="auto"/>
          <w:lang w:val="en-US" w:eastAsia="zh-CN" w:bidi="ar-SA"/>
        </w:rPr>
        <w:t>撰写工作。为确保成果质量、充实报告内容，7月18日，评价组组织</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召开绩效评价报告论证会</w:t>
      </w:r>
      <w:r>
        <w:rPr>
          <w:rFonts w:hint="eastAsia" w:cs="仿宋_GB2312"/>
          <w:snapToGrid w:val="0"/>
          <w:color w:val="auto"/>
          <w:kern w:val="0"/>
          <w:sz w:val="32"/>
          <w:szCs w:val="32"/>
          <w:highlight w:val="none"/>
          <w:u w:val="none"/>
          <w:shd w:val="clear" w:color="auto" w:fill="auto"/>
          <w:lang w:val="zh-CN" w:eastAsia="zh-CN" w:bidi="ar-SA"/>
        </w:rPr>
        <w:t>。</w:t>
      </w:r>
      <w:r>
        <w:rPr>
          <w:rFonts w:hint="eastAsia" w:cs="仿宋_GB2312"/>
          <w:snapToGrid w:val="0"/>
          <w:color w:val="auto"/>
          <w:kern w:val="0"/>
          <w:sz w:val="32"/>
          <w:szCs w:val="32"/>
          <w:highlight w:val="none"/>
          <w:u w:val="none"/>
          <w:shd w:val="clear" w:color="auto" w:fill="auto"/>
          <w:lang w:val="en-US" w:eastAsia="zh-CN" w:bidi="ar-SA"/>
        </w:rPr>
        <w:t>会后，结合</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市财政局、</w:t>
      </w:r>
      <w:r>
        <w:rPr>
          <w:rFonts w:hint="eastAsia" w:cs="仿宋_GB2312"/>
          <w:snapToGrid w:val="0"/>
          <w:color w:val="auto"/>
          <w:kern w:val="0"/>
          <w:sz w:val="32"/>
          <w:szCs w:val="32"/>
          <w:highlight w:val="none"/>
          <w:u w:val="none"/>
          <w:shd w:val="clear" w:color="auto" w:fill="auto"/>
          <w:lang w:val="zh-CN" w:eastAsia="zh-CN" w:bidi="ar-SA"/>
        </w:rPr>
        <w:t>市财政事务服务中心</w:t>
      </w:r>
      <w:r>
        <w:rPr>
          <w:rFonts w:hint="eastAsia" w:cs="仿宋_GB2312"/>
          <w:snapToGrid w:val="0"/>
          <w:color w:val="auto"/>
          <w:kern w:val="0"/>
          <w:sz w:val="32"/>
          <w:szCs w:val="32"/>
          <w:highlight w:val="none"/>
          <w:u w:val="none"/>
          <w:shd w:val="clear" w:color="auto" w:fill="auto"/>
          <w:lang w:val="en-US" w:eastAsia="zh-CN" w:bidi="ar-SA"/>
        </w:rPr>
        <w:t>领导及专家在会上所提的</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论证意见，</w:t>
      </w:r>
      <w:r>
        <w:rPr>
          <w:rFonts w:hint="eastAsia" w:cs="仿宋_GB2312"/>
          <w:snapToGrid w:val="0"/>
          <w:color w:val="auto"/>
          <w:kern w:val="0"/>
          <w:sz w:val="32"/>
          <w:szCs w:val="32"/>
          <w:highlight w:val="none"/>
          <w:u w:val="none"/>
          <w:shd w:val="clear" w:color="auto" w:fill="auto"/>
          <w:lang w:val="en-US" w:eastAsia="zh-CN" w:bidi="ar-SA"/>
        </w:rPr>
        <w:t>评价组</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对评价报告</w:t>
      </w:r>
      <w:r>
        <w:rPr>
          <w:rFonts w:hint="eastAsia" w:cs="仿宋_GB2312"/>
          <w:snapToGrid w:val="0"/>
          <w:color w:val="auto"/>
          <w:kern w:val="0"/>
          <w:sz w:val="32"/>
          <w:szCs w:val="32"/>
          <w:highlight w:val="none"/>
          <w:u w:val="none"/>
          <w:shd w:val="clear" w:color="auto" w:fill="auto"/>
          <w:lang w:val="en-US" w:eastAsia="zh-CN" w:bidi="ar-SA"/>
        </w:rPr>
        <w:t>进一步</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修改完善，</w:t>
      </w:r>
      <w:r>
        <w:rPr>
          <w:rFonts w:hint="eastAsia" w:cs="仿宋_GB2312"/>
          <w:snapToGrid w:val="0"/>
          <w:color w:val="auto"/>
          <w:kern w:val="0"/>
          <w:sz w:val="32"/>
          <w:szCs w:val="32"/>
          <w:highlight w:val="none"/>
          <w:u w:val="none"/>
          <w:shd w:val="clear" w:color="auto" w:fill="auto"/>
          <w:lang w:val="en-US" w:eastAsia="zh-CN" w:bidi="ar-SA"/>
        </w:rPr>
        <w:t>最终形成</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报告终稿</w:t>
      </w:r>
      <w:r>
        <w:rPr>
          <w:rFonts w:hint="eastAsia" w:cs="仿宋_GB2312"/>
          <w:snapToGrid w:val="0"/>
          <w:color w:val="auto"/>
          <w:kern w:val="0"/>
          <w:sz w:val="32"/>
          <w:szCs w:val="32"/>
          <w:highlight w:val="none"/>
          <w:u w:val="none"/>
          <w:shd w:val="clear" w:color="auto" w:fill="auto"/>
          <w:lang w:val="zh-CN" w:eastAsia="zh-CN" w:bidi="ar-SA"/>
        </w:rPr>
        <w:t>并</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报</w:t>
      </w:r>
      <w:r>
        <w:rPr>
          <w:rFonts w:hint="eastAsia" w:cs="仿宋_GB2312"/>
          <w:snapToGrid w:val="0"/>
          <w:color w:val="auto"/>
          <w:kern w:val="0"/>
          <w:sz w:val="32"/>
          <w:szCs w:val="32"/>
          <w:highlight w:val="none"/>
          <w:u w:val="none"/>
          <w:shd w:val="clear" w:color="auto" w:fill="auto"/>
          <w:lang w:val="en-US" w:eastAsia="zh-CN" w:bidi="ar-SA"/>
        </w:rPr>
        <w:t>送</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市财政局</w:t>
      </w:r>
      <w:r>
        <w:rPr>
          <w:rFonts w:hint="eastAsia" w:cs="仿宋_GB2312"/>
          <w:snapToGrid w:val="0"/>
          <w:color w:val="auto"/>
          <w:kern w:val="0"/>
          <w:sz w:val="32"/>
          <w:szCs w:val="32"/>
          <w:highlight w:val="none"/>
          <w:u w:val="none"/>
          <w:shd w:val="clear" w:color="auto" w:fill="auto"/>
          <w:lang w:val="en-US" w:eastAsia="zh-CN" w:bidi="ar-SA"/>
        </w:rPr>
        <w:t>和</w:t>
      </w:r>
      <w:r>
        <w:rPr>
          <w:rFonts w:hint="eastAsia" w:cs="仿宋_GB2312"/>
          <w:snapToGrid w:val="0"/>
          <w:color w:val="auto"/>
          <w:kern w:val="0"/>
          <w:sz w:val="32"/>
          <w:szCs w:val="32"/>
          <w:highlight w:val="none"/>
          <w:u w:val="none"/>
          <w:shd w:val="clear" w:color="auto" w:fill="auto"/>
          <w:lang w:val="zh-CN" w:eastAsia="zh-CN" w:bidi="ar-SA"/>
        </w:rPr>
        <w:t>市财政事务服务中心</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w:t>
      </w:r>
    </w:p>
    <w:p>
      <w:pPr>
        <w:keepNext w:val="0"/>
        <w:keepLines w:val="0"/>
        <w:pageBreakBefore w:val="0"/>
        <w:kinsoku/>
        <w:wordWrap/>
        <w:overflowPunct/>
        <w:topLinePunct w:val="0"/>
        <w:autoSpaceDN/>
        <w:bidi w:val="0"/>
        <w:adjustRightInd/>
        <w:snapToGrid/>
        <w:spacing w:line="600" w:lineRule="exact"/>
        <w:ind w:left="0" w:firstLine="640" w:firstLineChars="200"/>
        <w:textAlignment w:val="auto"/>
        <w:outlineLvl w:val="9"/>
        <w:rPr>
          <w:rFonts w:hint="default" w:ascii="仿宋_GB2312" w:hAnsi="仿宋_GB2312" w:eastAsia="仿宋_GB2312" w:cs="仿宋_GB2312"/>
          <w:snapToGrid w:val="0"/>
          <w:color w:val="auto"/>
          <w:kern w:val="0"/>
          <w:sz w:val="32"/>
          <w:szCs w:val="32"/>
          <w:highlight w:val="none"/>
          <w:u w:val="none"/>
          <w:shd w:val="clear" w:color="auto" w:fill="auto"/>
          <w:lang w:val="en-US" w:eastAsia="zh-CN" w:bidi="ar-SA"/>
        </w:rPr>
      </w:pPr>
      <w:r>
        <w:rPr>
          <w:rFonts w:hint="eastAsia" w:cs="仿宋_GB2312"/>
          <w:snapToGrid w:val="0"/>
          <w:color w:val="auto"/>
          <w:kern w:val="0"/>
          <w:sz w:val="32"/>
          <w:szCs w:val="32"/>
          <w:highlight w:val="none"/>
          <w:u w:val="none"/>
          <w:shd w:val="clear" w:color="auto" w:fill="auto"/>
          <w:lang w:val="en-US" w:eastAsia="zh-CN" w:bidi="ar-SA"/>
        </w:rPr>
        <w:t>（4）</w:t>
      </w: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档案归集</w:t>
      </w:r>
      <w:bookmarkEnd w:id="58"/>
      <w:bookmarkEnd w:id="59"/>
      <w:r>
        <w:rPr>
          <w:rFonts w:hint="eastAsia" w:cs="仿宋_GB2312"/>
          <w:snapToGrid w:val="0"/>
          <w:color w:val="auto"/>
          <w:kern w:val="0"/>
          <w:sz w:val="32"/>
          <w:szCs w:val="32"/>
          <w:highlight w:val="none"/>
          <w:u w:val="none"/>
          <w:shd w:val="clear" w:color="auto" w:fill="auto"/>
          <w:lang w:val="en-US" w:eastAsia="zh-CN" w:bidi="ar-SA"/>
        </w:rPr>
        <w:t>阶段</w:t>
      </w:r>
    </w:p>
    <w:p>
      <w:pPr>
        <w:numPr>
          <w:ilvl w:val="0"/>
          <w:numId w:val="0"/>
        </w:numPr>
        <w:spacing w:line="600" w:lineRule="exact"/>
        <w:ind w:firstLine="640" w:firstLineChars="200"/>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pPr>
      <w:r>
        <w:rPr>
          <w:rFonts w:hint="eastAsia" w:ascii="仿宋_GB2312" w:hAnsi="仿宋_GB2312" w:eastAsia="仿宋_GB2312" w:cs="仿宋_GB2312"/>
          <w:snapToGrid w:val="0"/>
          <w:color w:val="auto"/>
          <w:kern w:val="0"/>
          <w:sz w:val="32"/>
          <w:szCs w:val="32"/>
          <w:highlight w:val="none"/>
          <w:u w:val="none"/>
          <w:shd w:val="clear" w:color="auto" w:fill="auto"/>
          <w:lang w:val="zh-CN" w:eastAsia="zh-CN" w:bidi="ar-SA"/>
        </w:rPr>
        <w:t>收集绩效评价各类文件资料及评价报告等，建立绩效评价纸质及电子档案，确保档案资料原始、安全和完整。全体评价人员要严守工作、廉政和保密纪律，确保整个评价工作健康有序进行。</w:t>
      </w:r>
    </w:p>
    <w:p>
      <w:pPr>
        <w:numPr>
          <w:ilvl w:val="0"/>
          <w:numId w:val="0"/>
        </w:numPr>
        <w:spacing w:line="600" w:lineRule="exact"/>
        <w:ind w:firstLine="643" w:firstLineChars="200"/>
        <w:rPr>
          <w:rFonts w:hint="eastAsia" w:ascii="仿宋_GB2312" w:hAnsi="仿宋_GB2312" w:eastAsia="仿宋_GB2312" w:cs="仿宋_GB2312"/>
          <w:b/>
          <w:bCs/>
          <w:color w:val="auto"/>
          <w:sz w:val="32"/>
          <w:szCs w:val="40"/>
          <w:highlight w:val="none"/>
        </w:rPr>
      </w:pPr>
      <w:r>
        <w:rPr>
          <w:rFonts w:hint="eastAsia" w:ascii="仿宋_GB2312" w:hAnsi="仿宋_GB2312" w:eastAsia="仿宋_GB2312" w:cs="仿宋_GB2312"/>
          <w:b/>
          <w:bCs/>
          <w:color w:val="auto"/>
          <w:kern w:val="2"/>
          <w:sz w:val="32"/>
          <w:szCs w:val="40"/>
          <w:highlight w:val="none"/>
          <w:lang w:val="en-US" w:eastAsia="zh-CN" w:bidi="ar-SA"/>
        </w:rPr>
        <w:t>2.</w:t>
      </w:r>
      <w:r>
        <w:rPr>
          <w:rFonts w:hint="eastAsia" w:ascii="仿宋_GB2312" w:hAnsi="仿宋_GB2312" w:eastAsia="仿宋_GB2312" w:cs="仿宋_GB2312"/>
          <w:b/>
          <w:bCs/>
          <w:color w:val="auto"/>
          <w:sz w:val="32"/>
          <w:szCs w:val="40"/>
          <w:highlight w:val="none"/>
        </w:rPr>
        <w:t>评价方法</w:t>
      </w:r>
    </w:p>
    <w:p>
      <w:pPr>
        <w:keepNext w:val="0"/>
        <w:keepLines w:val="0"/>
        <w:pageBreakBefore w:val="0"/>
        <w:widowControl w:val="0"/>
        <w:suppressLineNumbers w:val="0"/>
        <w:shd w:val="clear"/>
        <w:kinsoku/>
        <w:wordWrap/>
        <w:overflowPunct/>
        <w:topLinePunct w:val="0"/>
        <w:autoSpaceDN/>
        <w:bidi w:val="0"/>
        <w:adjustRightInd/>
        <w:snapToGrid/>
        <w:spacing w:beforeLines="0" w:beforeAutospacing="0" w:afterLines="0" w:afterAutospacing="0" w:line="600" w:lineRule="exact"/>
        <w:ind w:left="0" w:right="0" w:firstLine="640" w:firstLineChars="200"/>
        <w:jc w:val="both"/>
        <w:textAlignment w:val="auto"/>
        <w:rPr>
          <w:rFonts w:hint="default" w:ascii="仿宋_GB2312" w:eastAsia="仿宋_GB2312" w:cs="仿宋_GB2312"/>
          <w:color w:val="auto"/>
          <w:kern w:val="2"/>
          <w:sz w:val="32"/>
          <w:szCs w:val="32"/>
          <w:highlight w:val="none"/>
        </w:rPr>
      </w:pPr>
      <w:r>
        <w:rPr>
          <w:rFonts w:hint="default" w:ascii="仿宋_GB2312" w:hAnsi="仿宋_GB2312" w:eastAsia="仿宋_GB2312" w:cs="仿宋_GB2312"/>
          <w:color w:val="auto"/>
          <w:kern w:val="2"/>
          <w:sz w:val="32"/>
          <w:szCs w:val="32"/>
          <w:highlight w:val="none"/>
          <w:lang w:val="en-US" w:eastAsia="zh-CN" w:bidi="ar"/>
        </w:rPr>
        <w:t>根据</w:t>
      </w:r>
      <w:r>
        <w:rPr>
          <w:rFonts w:hint="eastAsia" w:cs="仿宋_GB2312"/>
          <w:b w:val="0"/>
          <w:bCs w:val="0"/>
          <w:color w:val="auto"/>
          <w:kern w:val="2"/>
          <w:sz w:val="32"/>
          <w:szCs w:val="32"/>
          <w:highlight w:val="none"/>
          <w:lang w:val="en-US" w:eastAsia="zh-CN" w:bidi="ar"/>
        </w:rPr>
        <w:t>支持集成电路产业发展资金</w:t>
      </w:r>
      <w:r>
        <w:rPr>
          <w:rFonts w:hint="default" w:ascii="仿宋_GB2312" w:hAnsi="仿宋_GB2312" w:eastAsia="仿宋_GB2312" w:cs="仿宋_GB2312"/>
          <w:color w:val="auto"/>
          <w:kern w:val="2"/>
          <w:sz w:val="32"/>
          <w:szCs w:val="32"/>
          <w:highlight w:val="none"/>
          <w:lang w:val="en-US" w:eastAsia="zh-CN" w:bidi="ar"/>
        </w:rPr>
        <w:t>特点，评价组采取比较法、因素分析法和公众评判法开展评价，具体</w:t>
      </w:r>
      <w:r>
        <w:rPr>
          <w:rFonts w:hint="eastAsia" w:cs="仿宋_GB2312"/>
          <w:color w:val="auto"/>
          <w:kern w:val="2"/>
          <w:sz w:val="32"/>
          <w:szCs w:val="32"/>
          <w:highlight w:val="none"/>
          <w:lang w:val="en-US" w:eastAsia="zh-CN" w:bidi="ar"/>
        </w:rPr>
        <w:t>通过</w:t>
      </w:r>
      <w:r>
        <w:rPr>
          <w:rFonts w:hint="default" w:ascii="仿宋_GB2312" w:hAnsi="仿宋_GB2312" w:eastAsia="仿宋_GB2312" w:cs="仿宋_GB2312"/>
          <w:color w:val="auto"/>
          <w:kern w:val="2"/>
          <w:sz w:val="32"/>
          <w:szCs w:val="32"/>
          <w:highlight w:val="none"/>
          <w:lang w:val="en-US" w:eastAsia="zh-CN" w:bidi="ar"/>
        </w:rPr>
        <w:t>资料核查，</w:t>
      </w:r>
      <w:r>
        <w:rPr>
          <w:rFonts w:hint="eastAsia" w:cs="仿宋_GB2312"/>
          <w:color w:val="auto"/>
          <w:kern w:val="2"/>
          <w:sz w:val="32"/>
          <w:szCs w:val="32"/>
          <w:highlight w:val="none"/>
          <w:lang w:val="en-US" w:eastAsia="zh-CN" w:bidi="ar"/>
        </w:rPr>
        <w:t>实地</w:t>
      </w:r>
      <w:r>
        <w:rPr>
          <w:rFonts w:hint="default" w:ascii="仿宋_GB2312" w:hAnsi="仿宋_GB2312" w:eastAsia="仿宋_GB2312" w:cs="仿宋_GB2312"/>
          <w:color w:val="auto"/>
          <w:kern w:val="2"/>
          <w:sz w:val="32"/>
          <w:szCs w:val="32"/>
          <w:highlight w:val="none"/>
          <w:lang w:val="en-US" w:eastAsia="zh-CN" w:bidi="ar"/>
        </w:rPr>
        <w:t>勘查，多层次访谈、座谈，专家评议和受益群体满意度调查等方式，结合绩效评价指标体系开展评价。</w:t>
      </w:r>
    </w:p>
    <w:p>
      <w:pPr>
        <w:keepNext w:val="0"/>
        <w:keepLines w:val="0"/>
        <w:pageBreakBefore w:val="0"/>
        <w:widowControl w:val="0"/>
        <w:suppressLineNumbers w:val="0"/>
        <w:shd w:val="clear"/>
        <w:kinsoku/>
        <w:wordWrap/>
        <w:overflowPunct/>
        <w:topLinePunct w:val="0"/>
        <w:autoSpaceDN/>
        <w:bidi w:val="0"/>
        <w:adjustRightInd/>
        <w:snapToGrid/>
        <w:spacing w:beforeLines="0" w:beforeAutospacing="0" w:afterLines="0" w:afterAutospacing="0" w:line="600" w:lineRule="exact"/>
        <w:ind w:left="0" w:right="0" w:firstLine="640" w:firstLineChars="200"/>
        <w:jc w:val="both"/>
        <w:textAlignment w:val="auto"/>
        <w:rPr>
          <w:rFonts w:hint="default" w:ascii="仿宋_GB2312" w:eastAsia="仿宋_GB2312" w:cs="仿宋_GB2312"/>
          <w:bCs/>
          <w:color w:val="auto"/>
          <w:kern w:val="2"/>
          <w:sz w:val="32"/>
          <w:szCs w:val="32"/>
          <w:highlight w:val="none"/>
        </w:rPr>
      </w:pPr>
      <w:r>
        <w:rPr>
          <w:rFonts w:hint="default" w:ascii="仿宋_GB2312" w:hAnsi="仿宋_GB2312" w:eastAsia="仿宋_GB2312" w:cs="仿宋_GB2312"/>
          <w:bCs/>
          <w:color w:val="auto"/>
          <w:kern w:val="2"/>
          <w:sz w:val="32"/>
          <w:szCs w:val="32"/>
          <w:highlight w:val="none"/>
          <w:lang w:val="en-US" w:eastAsia="zh-CN" w:bidi="ar"/>
        </w:rPr>
        <w:t>（1）比较法：通过对</w:t>
      </w:r>
      <w:r>
        <w:rPr>
          <w:rFonts w:hint="eastAsia" w:cs="仿宋_GB2312"/>
          <w:bCs/>
          <w:color w:val="auto"/>
          <w:kern w:val="2"/>
          <w:sz w:val="32"/>
          <w:szCs w:val="32"/>
          <w:highlight w:val="none"/>
          <w:lang w:val="en-US" w:eastAsia="zh-CN" w:bidi="ar"/>
        </w:rPr>
        <w:t>政策</w:t>
      </w:r>
      <w:r>
        <w:rPr>
          <w:rFonts w:hint="default" w:ascii="仿宋_GB2312" w:hAnsi="仿宋_GB2312" w:eastAsia="仿宋_GB2312" w:cs="仿宋_GB2312"/>
          <w:bCs/>
          <w:color w:val="auto"/>
          <w:kern w:val="2"/>
          <w:sz w:val="32"/>
          <w:szCs w:val="32"/>
          <w:highlight w:val="none"/>
          <w:lang w:val="en-US" w:eastAsia="zh-CN" w:bidi="ar"/>
        </w:rPr>
        <w:t>目标和</w:t>
      </w:r>
      <w:r>
        <w:rPr>
          <w:rFonts w:hint="eastAsia" w:cs="仿宋_GB2312"/>
          <w:bCs/>
          <w:color w:val="auto"/>
          <w:kern w:val="2"/>
          <w:sz w:val="32"/>
          <w:szCs w:val="32"/>
          <w:highlight w:val="none"/>
          <w:lang w:val="en-US" w:eastAsia="zh-CN" w:bidi="ar"/>
        </w:rPr>
        <w:t>实现程度、奖补政策和</w:t>
      </w:r>
      <w:r>
        <w:rPr>
          <w:rFonts w:hint="default" w:ascii="仿宋_GB2312" w:hAnsi="仿宋_GB2312" w:eastAsia="仿宋_GB2312" w:cs="仿宋_GB2312"/>
          <w:bCs/>
          <w:color w:val="auto"/>
          <w:kern w:val="2"/>
          <w:sz w:val="32"/>
          <w:szCs w:val="32"/>
          <w:highlight w:val="none"/>
          <w:lang w:val="en-US" w:eastAsia="zh-CN" w:bidi="ar"/>
        </w:rPr>
        <w:t>其他</w:t>
      </w:r>
      <w:r>
        <w:rPr>
          <w:rFonts w:hint="eastAsia" w:ascii="仿宋_GB2312" w:eastAsia="仿宋_GB2312" w:cs="仿宋_GB2312"/>
          <w:bCs/>
          <w:color w:val="auto"/>
          <w:kern w:val="2"/>
          <w:sz w:val="32"/>
          <w:szCs w:val="32"/>
          <w:highlight w:val="none"/>
          <w:lang w:val="en-US" w:eastAsia="zh" w:bidi="ar"/>
        </w:rPr>
        <w:t>地市</w:t>
      </w:r>
      <w:r>
        <w:rPr>
          <w:rFonts w:hint="eastAsia" w:cs="仿宋_GB2312"/>
          <w:bCs/>
          <w:color w:val="auto"/>
          <w:kern w:val="2"/>
          <w:sz w:val="32"/>
          <w:szCs w:val="32"/>
          <w:highlight w:val="none"/>
          <w:lang w:val="en-US" w:eastAsia="zh-CN" w:bidi="ar"/>
        </w:rPr>
        <w:t>同类政策进行比较</w:t>
      </w:r>
      <w:r>
        <w:rPr>
          <w:rFonts w:hint="default" w:ascii="仿宋_GB2312" w:hAnsi="仿宋_GB2312" w:eastAsia="仿宋_GB2312" w:cs="仿宋_GB2312"/>
          <w:bCs/>
          <w:color w:val="auto"/>
          <w:kern w:val="2"/>
          <w:sz w:val="32"/>
          <w:szCs w:val="32"/>
          <w:highlight w:val="none"/>
          <w:lang w:val="en-US" w:eastAsia="zh-CN" w:bidi="ar"/>
        </w:rPr>
        <w:t>，</w:t>
      </w:r>
      <w:r>
        <w:rPr>
          <w:rFonts w:hint="eastAsia" w:cs="仿宋_GB2312"/>
          <w:bCs/>
          <w:color w:val="auto"/>
          <w:kern w:val="2"/>
          <w:sz w:val="32"/>
          <w:szCs w:val="32"/>
          <w:highlight w:val="none"/>
          <w:lang w:val="en-US" w:eastAsia="zh-CN" w:bidi="ar"/>
        </w:rPr>
        <w:t>如济南市、广州市、成都市，</w:t>
      </w:r>
      <w:r>
        <w:rPr>
          <w:rFonts w:hint="default" w:ascii="仿宋_GB2312" w:hAnsi="仿宋_GB2312" w:eastAsia="仿宋_GB2312" w:cs="仿宋_GB2312"/>
          <w:bCs/>
          <w:color w:val="auto"/>
          <w:kern w:val="2"/>
          <w:sz w:val="32"/>
          <w:szCs w:val="32"/>
          <w:highlight w:val="none"/>
          <w:lang w:val="en-US" w:eastAsia="zh-CN" w:bidi="ar"/>
        </w:rPr>
        <w:t>综合分析</w:t>
      </w:r>
      <w:r>
        <w:rPr>
          <w:rFonts w:hint="eastAsia" w:cs="仿宋_GB2312"/>
          <w:bCs/>
          <w:color w:val="auto"/>
          <w:kern w:val="2"/>
          <w:sz w:val="32"/>
          <w:szCs w:val="32"/>
          <w:highlight w:val="none"/>
          <w:lang w:val="en-US" w:eastAsia="zh-CN" w:bidi="ar"/>
        </w:rPr>
        <w:t>奖补政策的实施</w:t>
      </w:r>
      <w:r>
        <w:rPr>
          <w:rFonts w:hint="default" w:ascii="仿宋_GB2312" w:hAnsi="仿宋_GB2312" w:eastAsia="仿宋_GB2312" w:cs="仿宋_GB2312"/>
          <w:bCs/>
          <w:color w:val="auto"/>
          <w:kern w:val="2"/>
          <w:sz w:val="32"/>
          <w:szCs w:val="32"/>
          <w:highlight w:val="none"/>
          <w:lang w:val="en-US" w:eastAsia="zh-CN" w:bidi="ar"/>
        </w:rPr>
        <w:t>效果。</w:t>
      </w:r>
    </w:p>
    <w:p>
      <w:pPr>
        <w:keepNext w:val="0"/>
        <w:keepLines w:val="0"/>
        <w:pageBreakBefore w:val="0"/>
        <w:widowControl w:val="0"/>
        <w:suppressLineNumbers w:val="0"/>
        <w:shd w:val="clear"/>
        <w:kinsoku/>
        <w:wordWrap/>
        <w:overflowPunct/>
        <w:topLinePunct w:val="0"/>
        <w:autoSpaceDN/>
        <w:bidi w:val="0"/>
        <w:adjustRightInd/>
        <w:snapToGrid/>
        <w:spacing w:beforeLines="0" w:beforeAutospacing="0" w:afterLines="0" w:afterAutospacing="0" w:line="600" w:lineRule="exact"/>
        <w:ind w:left="0" w:right="0" w:firstLine="640" w:firstLineChars="200"/>
        <w:jc w:val="both"/>
        <w:textAlignment w:val="auto"/>
        <w:rPr>
          <w:rFonts w:hint="default" w:ascii="仿宋_GB2312" w:eastAsia="仿宋_GB2312" w:cs="仿宋_GB2312"/>
          <w:bCs/>
          <w:color w:val="auto"/>
          <w:kern w:val="2"/>
          <w:sz w:val="32"/>
          <w:szCs w:val="32"/>
          <w:highlight w:val="none"/>
        </w:rPr>
      </w:pPr>
      <w:r>
        <w:rPr>
          <w:rFonts w:hint="default" w:ascii="仿宋_GB2312" w:hAnsi="仿宋_GB2312" w:eastAsia="仿宋_GB2312" w:cs="仿宋_GB2312"/>
          <w:bCs/>
          <w:color w:val="auto"/>
          <w:kern w:val="2"/>
          <w:sz w:val="32"/>
          <w:szCs w:val="32"/>
          <w:highlight w:val="none"/>
          <w:lang w:val="en-US" w:eastAsia="zh-CN" w:bidi="ar"/>
        </w:rPr>
        <w:t>（2）因素分析法：通过综合分析影响</w:t>
      </w:r>
      <w:r>
        <w:rPr>
          <w:rFonts w:hint="eastAsia" w:cs="仿宋_GB2312"/>
          <w:bCs/>
          <w:color w:val="auto"/>
          <w:kern w:val="2"/>
          <w:sz w:val="32"/>
          <w:szCs w:val="32"/>
          <w:highlight w:val="none"/>
          <w:lang w:val="en-US" w:eastAsia="zh-CN" w:bidi="ar"/>
        </w:rPr>
        <w:t>政策</w:t>
      </w:r>
      <w:r>
        <w:rPr>
          <w:rFonts w:hint="default" w:ascii="仿宋_GB2312" w:hAnsi="仿宋_GB2312" w:eastAsia="仿宋_GB2312" w:cs="仿宋_GB2312"/>
          <w:bCs/>
          <w:color w:val="auto"/>
          <w:kern w:val="2"/>
          <w:sz w:val="32"/>
          <w:szCs w:val="32"/>
          <w:highlight w:val="none"/>
          <w:lang w:val="en-US" w:eastAsia="zh-CN" w:bidi="ar"/>
        </w:rPr>
        <w:t>绩效目标实现、实施效果的内外因素，评价绩效目标实现程度</w:t>
      </w:r>
      <w:r>
        <w:rPr>
          <w:rFonts w:hint="eastAsia" w:cs="仿宋_GB2312"/>
          <w:bCs/>
          <w:color w:val="auto"/>
          <w:kern w:val="2"/>
          <w:sz w:val="32"/>
          <w:szCs w:val="32"/>
          <w:highlight w:val="none"/>
          <w:lang w:val="en-US" w:eastAsia="zh-CN" w:bidi="ar"/>
        </w:rPr>
        <w:t>，核实采购电子设计自动化（EDA）工具软件、硅知识产权（IP）核、工程批流片服务（MPW）、自主研发芯片产品等目标的完成情况</w:t>
      </w:r>
      <w:r>
        <w:rPr>
          <w:rFonts w:hint="default" w:ascii="仿宋_GB2312" w:hAnsi="仿宋_GB2312" w:eastAsia="仿宋_GB2312" w:cs="仿宋_GB2312"/>
          <w:bCs/>
          <w:color w:val="auto"/>
          <w:kern w:val="2"/>
          <w:sz w:val="32"/>
          <w:szCs w:val="32"/>
          <w:highlight w:val="none"/>
          <w:lang w:val="en-US" w:eastAsia="zh-CN" w:bidi="ar"/>
        </w:rPr>
        <w:t>。就</w:t>
      </w:r>
      <w:r>
        <w:rPr>
          <w:rFonts w:hint="eastAsia" w:cs="仿宋_GB2312"/>
          <w:bCs/>
          <w:color w:val="auto"/>
          <w:kern w:val="2"/>
          <w:sz w:val="32"/>
          <w:szCs w:val="32"/>
          <w:highlight w:val="none"/>
          <w:lang w:val="en-US" w:eastAsia="zh-CN" w:bidi="ar"/>
        </w:rPr>
        <w:t>政策制定</w:t>
      </w:r>
      <w:r>
        <w:rPr>
          <w:rFonts w:hint="default" w:ascii="仿宋_GB2312" w:hAnsi="仿宋_GB2312" w:eastAsia="仿宋_GB2312" w:cs="仿宋_GB2312"/>
          <w:bCs/>
          <w:color w:val="auto"/>
          <w:kern w:val="2"/>
          <w:sz w:val="32"/>
          <w:szCs w:val="32"/>
          <w:highlight w:val="none"/>
          <w:lang w:val="en-US" w:eastAsia="zh-CN" w:bidi="ar"/>
        </w:rPr>
        <w:t>依据</w:t>
      </w:r>
      <w:r>
        <w:rPr>
          <w:rFonts w:hint="eastAsia" w:cs="仿宋_GB2312"/>
          <w:bCs/>
          <w:color w:val="auto"/>
          <w:kern w:val="2"/>
          <w:sz w:val="32"/>
          <w:szCs w:val="32"/>
          <w:highlight w:val="none"/>
          <w:lang w:val="en-US" w:eastAsia="zh-CN" w:bidi="ar"/>
        </w:rPr>
        <w:t>、政策</w:t>
      </w:r>
      <w:r>
        <w:rPr>
          <w:rFonts w:hint="default" w:ascii="仿宋_GB2312" w:hAnsi="仿宋_GB2312" w:eastAsia="仿宋_GB2312" w:cs="仿宋_GB2312"/>
          <w:bCs/>
          <w:color w:val="auto"/>
          <w:kern w:val="2"/>
          <w:sz w:val="32"/>
          <w:szCs w:val="32"/>
          <w:highlight w:val="none"/>
          <w:lang w:val="en-US" w:eastAsia="zh-CN" w:bidi="ar"/>
        </w:rPr>
        <w:t>目标设定</w:t>
      </w:r>
      <w:r>
        <w:rPr>
          <w:rFonts w:hint="eastAsia" w:cs="仿宋_GB2312"/>
          <w:bCs/>
          <w:color w:val="auto"/>
          <w:kern w:val="2"/>
          <w:sz w:val="32"/>
          <w:szCs w:val="32"/>
          <w:highlight w:val="none"/>
          <w:lang w:val="en-US" w:eastAsia="zh-CN" w:bidi="ar"/>
        </w:rPr>
        <w:t>、申报组织流程、政策实施效果</w:t>
      </w:r>
      <w:r>
        <w:rPr>
          <w:rFonts w:hint="default" w:ascii="仿宋_GB2312" w:hAnsi="仿宋_GB2312" w:eastAsia="仿宋_GB2312" w:cs="仿宋_GB2312"/>
          <w:bCs/>
          <w:color w:val="auto"/>
          <w:kern w:val="2"/>
          <w:sz w:val="32"/>
          <w:szCs w:val="32"/>
          <w:highlight w:val="none"/>
          <w:lang w:val="en-US" w:eastAsia="zh-CN" w:bidi="ar"/>
        </w:rPr>
        <w:t>等因素进行分析评价。</w:t>
      </w:r>
    </w:p>
    <w:p>
      <w:pPr>
        <w:numPr>
          <w:ilvl w:val="0"/>
          <w:numId w:val="0"/>
        </w:numPr>
        <w:spacing w:line="600" w:lineRule="exact"/>
        <w:ind w:firstLine="640" w:firstLineChars="200"/>
        <w:rPr>
          <w:rFonts w:ascii="仿宋_GB2312" w:hAnsi="仿宋_GB2312" w:eastAsia="仿宋_GB2312" w:cs="仿宋_GB2312"/>
          <w:color w:val="auto"/>
          <w:sz w:val="32"/>
          <w:szCs w:val="40"/>
          <w:highlight w:val="none"/>
        </w:rPr>
      </w:pPr>
      <w:r>
        <w:rPr>
          <w:rFonts w:hint="default" w:ascii="仿宋_GB2312" w:hAnsi="仿宋_GB2312" w:eastAsia="仿宋_GB2312" w:cs="仿宋_GB2312"/>
          <w:bCs/>
          <w:color w:val="auto"/>
          <w:kern w:val="2"/>
          <w:sz w:val="32"/>
          <w:szCs w:val="32"/>
          <w:highlight w:val="none"/>
          <w:lang w:val="en-US" w:eastAsia="zh-CN" w:bidi="ar"/>
        </w:rPr>
        <w:t>（3）公众评判法：一是</w:t>
      </w:r>
      <w:r>
        <w:rPr>
          <w:rFonts w:hint="eastAsia" w:cs="仿宋_GB2312"/>
          <w:bCs/>
          <w:color w:val="auto"/>
          <w:kern w:val="2"/>
          <w:sz w:val="32"/>
          <w:szCs w:val="32"/>
          <w:highlight w:val="none"/>
          <w:lang w:val="en-US" w:eastAsia="zh-CN" w:bidi="ar"/>
        </w:rPr>
        <w:t>座谈访谈。</w:t>
      </w:r>
      <w:r>
        <w:rPr>
          <w:rFonts w:hint="eastAsia" w:cs="仿宋_GB2312"/>
          <w:color w:val="auto"/>
          <w:kern w:val="2"/>
          <w:sz w:val="32"/>
          <w:szCs w:val="32"/>
          <w:highlight w:val="none"/>
          <w:lang w:val="en-US" w:eastAsia="zh-CN" w:bidi="ar"/>
        </w:rPr>
        <w:t>组织行业</w:t>
      </w:r>
      <w:r>
        <w:rPr>
          <w:rFonts w:hint="default" w:ascii="仿宋_GB2312" w:hAnsi="仿宋_GB2312" w:eastAsia="仿宋_GB2312" w:cs="仿宋_GB2312"/>
          <w:color w:val="auto"/>
          <w:kern w:val="2"/>
          <w:sz w:val="32"/>
          <w:szCs w:val="32"/>
          <w:highlight w:val="none"/>
          <w:lang w:val="en-US" w:eastAsia="zh-CN" w:bidi="ar"/>
        </w:rPr>
        <w:t>专家和评价人员</w:t>
      </w:r>
      <w:r>
        <w:rPr>
          <w:rFonts w:hint="eastAsia" w:cs="仿宋_GB2312"/>
          <w:color w:val="auto"/>
          <w:kern w:val="2"/>
          <w:sz w:val="32"/>
          <w:szCs w:val="32"/>
          <w:highlight w:val="none"/>
          <w:lang w:val="en-US" w:eastAsia="zh-CN" w:bidi="ar"/>
        </w:rPr>
        <w:t>在资料审核的基础上，</w:t>
      </w:r>
      <w:r>
        <w:rPr>
          <w:rFonts w:hint="default" w:ascii="仿宋_GB2312" w:hAnsi="仿宋_GB2312" w:eastAsia="仿宋_GB2312" w:cs="仿宋_GB2312"/>
          <w:color w:val="auto"/>
          <w:kern w:val="2"/>
          <w:sz w:val="32"/>
          <w:szCs w:val="32"/>
          <w:highlight w:val="none"/>
          <w:lang w:val="en-US" w:eastAsia="zh-CN" w:bidi="ar"/>
        </w:rPr>
        <w:t>通过座谈</w:t>
      </w:r>
      <w:r>
        <w:rPr>
          <w:rFonts w:hint="eastAsia" w:cs="仿宋_GB2312"/>
          <w:color w:val="auto"/>
          <w:kern w:val="2"/>
          <w:sz w:val="32"/>
          <w:szCs w:val="32"/>
          <w:highlight w:val="none"/>
          <w:lang w:val="en-US" w:eastAsia="zh-CN" w:bidi="ar"/>
        </w:rPr>
        <w:t>沟通、多层次访谈等方式</w:t>
      </w:r>
      <w:r>
        <w:rPr>
          <w:rFonts w:hint="default" w:ascii="仿宋_GB2312" w:hAnsi="仿宋_GB2312" w:eastAsia="仿宋_GB2312" w:cs="仿宋_GB2312"/>
          <w:color w:val="auto"/>
          <w:kern w:val="2"/>
          <w:sz w:val="32"/>
          <w:szCs w:val="32"/>
          <w:highlight w:val="none"/>
          <w:lang w:val="en-US" w:eastAsia="zh-CN" w:bidi="ar"/>
        </w:rPr>
        <w:t>，充分了解</w:t>
      </w:r>
      <w:r>
        <w:rPr>
          <w:rFonts w:hint="eastAsia" w:hAnsi="宋体" w:cs="仿宋_GB2312"/>
          <w:color w:val="auto"/>
          <w:kern w:val="0"/>
          <w:sz w:val="32"/>
          <w:szCs w:val="32"/>
          <w:highlight w:val="none"/>
          <w:lang w:val="en-US" w:eastAsia="zh-CN" w:bidi="ar"/>
        </w:rPr>
        <w:t>政策实施</w:t>
      </w:r>
      <w:r>
        <w:rPr>
          <w:rFonts w:hint="default" w:ascii="仿宋_GB2312" w:hAnsi="仿宋_GB2312" w:eastAsia="仿宋_GB2312" w:cs="仿宋_GB2312"/>
          <w:color w:val="auto"/>
          <w:kern w:val="2"/>
          <w:sz w:val="32"/>
          <w:szCs w:val="32"/>
          <w:highlight w:val="none"/>
          <w:lang w:val="en-US" w:eastAsia="zh-CN" w:bidi="ar"/>
        </w:rPr>
        <w:t>情况，结合评价指标</w:t>
      </w:r>
      <w:r>
        <w:rPr>
          <w:rFonts w:hint="eastAsia" w:cs="仿宋_GB2312"/>
          <w:color w:val="auto"/>
          <w:kern w:val="2"/>
          <w:sz w:val="32"/>
          <w:szCs w:val="32"/>
          <w:highlight w:val="none"/>
          <w:lang w:val="en-US" w:eastAsia="zh-CN" w:bidi="ar"/>
        </w:rPr>
        <w:t>体系</w:t>
      </w:r>
      <w:r>
        <w:rPr>
          <w:rFonts w:hint="default" w:ascii="仿宋_GB2312" w:hAnsi="仿宋_GB2312" w:eastAsia="仿宋_GB2312" w:cs="仿宋_GB2312"/>
          <w:color w:val="auto"/>
          <w:kern w:val="2"/>
          <w:sz w:val="32"/>
          <w:szCs w:val="32"/>
          <w:highlight w:val="none"/>
          <w:lang w:val="en-US" w:eastAsia="zh-CN" w:bidi="ar"/>
        </w:rPr>
        <w:t>作出专业判断。</w:t>
      </w:r>
      <w:r>
        <w:rPr>
          <w:rFonts w:hint="default" w:ascii="仿宋_GB2312" w:hAnsi="仿宋_GB2312" w:eastAsia="仿宋_GB2312" w:cs="仿宋_GB2312"/>
          <w:bCs/>
          <w:color w:val="auto"/>
          <w:kern w:val="2"/>
          <w:sz w:val="32"/>
          <w:szCs w:val="32"/>
          <w:highlight w:val="none"/>
          <w:lang w:val="en-US" w:eastAsia="zh-CN" w:bidi="ar"/>
        </w:rPr>
        <w:t>二是满意度调查</w:t>
      </w:r>
      <w:r>
        <w:rPr>
          <w:rFonts w:hint="eastAsia" w:cs="仿宋_GB2312"/>
          <w:bCs/>
          <w:color w:val="auto"/>
          <w:kern w:val="2"/>
          <w:sz w:val="32"/>
          <w:szCs w:val="32"/>
          <w:highlight w:val="none"/>
          <w:lang w:val="en-US" w:eastAsia="zh-CN" w:bidi="ar"/>
        </w:rPr>
        <w:t>。向集成电路企业</w:t>
      </w:r>
      <w:r>
        <w:rPr>
          <w:rFonts w:hint="default" w:ascii="仿宋_GB2312" w:hAnsi="仿宋_GB2312" w:eastAsia="仿宋_GB2312" w:cs="仿宋_GB2312"/>
          <w:bCs/>
          <w:color w:val="auto"/>
          <w:kern w:val="2"/>
          <w:sz w:val="32"/>
          <w:szCs w:val="32"/>
          <w:highlight w:val="none"/>
          <w:lang w:val="en-US" w:eastAsia="zh-CN" w:bidi="ar"/>
        </w:rPr>
        <w:t>发放</w:t>
      </w:r>
      <w:r>
        <w:rPr>
          <w:rFonts w:hint="eastAsia" w:cs="仿宋_GB2312"/>
          <w:bCs/>
          <w:color w:val="auto"/>
          <w:kern w:val="2"/>
          <w:sz w:val="32"/>
          <w:szCs w:val="32"/>
          <w:highlight w:val="none"/>
          <w:lang w:val="en-US" w:eastAsia="zh-CN" w:bidi="ar"/>
        </w:rPr>
        <w:t>满意度</w:t>
      </w:r>
      <w:r>
        <w:rPr>
          <w:rFonts w:hint="default" w:ascii="仿宋_GB2312" w:hAnsi="仿宋_GB2312" w:eastAsia="仿宋_GB2312" w:cs="仿宋_GB2312"/>
          <w:bCs/>
          <w:color w:val="auto"/>
          <w:kern w:val="2"/>
          <w:sz w:val="32"/>
          <w:szCs w:val="32"/>
          <w:highlight w:val="none"/>
          <w:lang w:val="en-US" w:eastAsia="zh-CN" w:bidi="ar"/>
        </w:rPr>
        <w:t>调查问卷，</w:t>
      </w:r>
      <w:r>
        <w:rPr>
          <w:rFonts w:hint="eastAsia" w:cs="仿宋_GB2312"/>
          <w:bCs/>
          <w:color w:val="auto"/>
          <w:kern w:val="2"/>
          <w:sz w:val="32"/>
          <w:szCs w:val="32"/>
          <w:highlight w:val="none"/>
          <w:lang w:val="en-US" w:eastAsia="zh-CN" w:bidi="ar"/>
        </w:rPr>
        <w:t>了解有</w:t>
      </w:r>
      <w:r>
        <w:rPr>
          <w:rFonts w:hint="eastAsia" w:cs="仿宋_GB2312"/>
          <w:color w:val="auto"/>
          <w:kern w:val="2"/>
          <w:sz w:val="32"/>
          <w:szCs w:val="32"/>
          <w:highlight w:val="none"/>
          <w:lang w:val="en-US" w:eastAsia="zh-CN" w:bidi="ar"/>
        </w:rPr>
        <w:t>关企业需求，多方面了解政策实施后对企业营收、税收的影响，</w:t>
      </w:r>
      <w:r>
        <w:rPr>
          <w:rFonts w:hint="default" w:ascii="仿宋_GB2312" w:hAnsi="仿宋_GB2312" w:eastAsia="仿宋_GB2312" w:cs="仿宋_GB2312"/>
          <w:bCs/>
          <w:color w:val="auto"/>
          <w:kern w:val="2"/>
          <w:sz w:val="32"/>
          <w:szCs w:val="32"/>
          <w:highlight w:val="none"/>
          <w:lang w:val="en-US" w:eastAsia="zh-CN" w:bidi="ar"/>
        </w:rPr>
        <w:t>汇总分析意见进行评价判断</w:t>
      </w:r>
      <w:r>
        <w:rPr>
          <w:rFonts w:hint="eastAsia" w:ascii="仿宋_GB2312" w:hAnsi="仿宋_GB2312" w:eastAsia="仿宋_GB2312" w:cs="仿宋_GB2312"/>
          <w:color w:val="auto"/>
          <w:sz w:val="32"/>
          <w:szCs w:val="40"/>
          <w:highlight w:val="none"/>
        </w:rPr>
        <w:t>。</w:t>
      </w:r>
    </w:p>
    <w:p>
      <w:pPr>
        <w:pStyle w:val="2"/>
        <w:bidi w:val="0"/>
        <w:rPr>
          <w:color w:val="auto"/>
          <w:highlight w:val="none"/>
        </w:rPr>
      </w:pPr>
      <w:bookmarkStart w:id="60" w:name="_Toc26293"/>
      <w:bookmarkStart w:id="61" w:name="_Toc1095"/>
      <w:bookmarkStart w:id="62" w:name="_Toc10651"/>
      <w:bookmarkStart w:id="63" w:name="_Toc28433"/>
      <w:bookmarkStart w:id="64" w:name="_Toc28161"/>
      <w:r>
        <w:rPr>
          <w:rFonts w:hint="eastAsia"/>
          <w:color w:val="auto"/>
          <w:highlight w:val="none"/>
        </w:rPr>
        <w:t>三、评价结论及分析</w:t>
      </w:r>
      <w:bookmarkEnd w:id="60"/>
      <w:bookmarkEnd w:id="61"/>
      <w:bookmarkEnd w:id="62"/>
      <w:bookmarkEnd w:id="63"/>
      <w:bookmarkEnd w:id="64"/>
    </w:p>
    <w:p>
      <w:pPr>
        <w:pStyle w:val="3"/>
        <w:bidi w:val="0"/>
        <w:rPr>
          <w:rFonts w:ascii="楷体_GB2312" w:hAnsi="楷体_GB2312" w:eastAsia="楷体_GB2312" w:cs="楷体_GB2312"/>
          <w:color w:val="auto"/>
          <w:szCs w:val="40"/>
          <w:highlight w:val="none"/>
        </w:rPr>
      </w:pPr>
      <w:bookmarkStart w:id="65" w:name="_Toc10197"/>
      <w:bookmarkStart w:id="66" w:name="_Toc18518"/>
      <w:bookmarkStart w:id="67" w:name="_Toc7497"/>
      <w:bookmarkStart w:id="68" w:name="_Toc5908"/>
      <w:bookmarkStart w:id="69" w:name="_Toc3554"/>
      <w:r>
        <w:rPr>
          <w:rFonts w:hint="eastAsia"/>
          <w:color w:val="auto"/>
          <w:highlight w:val="none"/>
        </w:rPr>
        <w:t>（一）综合评价结论</w:t>
      </w:r>
      <w:bookmarkEnd w:id="65"/>
      <w:bookmarkEnd w:id="66"/>
      <w:bookmarkEnd w:id="67"/>
      <w:bookmarkEnd w:id="68"/>
      <w:bookmarkEnd w:id="69"/>
    </w:p>
    <w:p>
      <w:pPr>
        <w:spacing w:line="600" w:lineRule="exact"/>
        <w:ind w:firstLine="640" w:firstLineChars="200"/>
        <w:outlineLvl w:val="9"/>
        <w:rPr>
          <w:rFonts w:ascii="仿宋_GB2312" w:hAnsi="仿宋_GB2312" w:eastAsia="仿宋_GB2312" w:cs="仿宋_GB2312"/>
          <w:color w:val="auto"/>
          <w:sz w:val="32"/>
          <w:szCs w:val="40"/>
          <w:highlight w:val="none"/>
        </w:rPr>
      </w:pPr>
      <w:r>
        <w:rPr>
          <w:rFonts w:hint="eastAsia" w:cs="仿宋_GB2312"/>
          <w:color w:val="auto"/>
          <w:sz w:val="32"/>
          <w:szCs w:val="40"/>
          <w:highlight w:val="none"/>
          <w:lang w:val="en-US" w:eastAsia="zh-CN"/>
        </w:rPr>
        <w:t>支持集成电路产业发展资金政策</w:t>
      </w:r>
      <w:r>
        <w:rPr>
          <w:rFonts w:hint="eastAsia" w:ascii="仿宋_GB2312" w:hAnsi="仿宋_GB2312" w:eastAsia="仿宋_GB2312" w:cs="仿宋_GB2312"/>
          <w:color w:val="auto"/>
          <w:sz w:val="32"/>
          <w:szCs w:val="40"/>
          <w:highlight w:val="none"/>
        </w:rPr>
        <w:t>绩效评价得分</w:t>
      </w:r>
      <w:r>
        <w:rPr>
          <w:rFonts w:hint="eastAsia" w:cs="仿宋_GB2312"/>
          <w:color w:val="auto"/>
          <w:sz w:val="32"/>
          <w:szCs w:val="40"/>
          <w:highlight w:val="none"/>
          <w:lang w:val="en-US" w:eastAsia="zh-CN"/>
        </w:rPr>
        <w:t>为86.84</w:t>
      </w:r>
      <w:r>
        <w:rPr>
          <w:rFonts w:hint="eastAsia" w:ascii="仿宋_GB2312" w:hAnsi="仿宋_GB2312" w:eastAsia="仿宋_GB2312" w:cs="仿宋_GB2312"/>
          <w:color w:val="auto"/>
          <w:sz w:val="32"/>
          <w:szCs w:val="40"/>
          <w:highlight w:val="none"/>
        </w:rPr>
        <w:t>分，评价结果为“</w:t>
      </w:r>
      <w:r>
        <w:rPr>
          <w:rFonts w:hint="eastAsia" w:cs="仿宋_GB2312"/>
          <w:color w:val="auto"/>
          <w:sz w:val="32"/>
          <w:szCs w:val="40"/>
          <w:highlight w:val="none"/>
          <w:lang w:val="en-US" w:eastAsia="zh-CN"/>
        </w:rPr>
        <w:t>良</w:t>
      </w:r>
      <w:r>
        <w:rPr>
          <w:rFonts w:hint="eastAsia" w:ascii="仿宋_GB2312" w:hAnsi="仿宋_GB2312" w:eastAsia="仿宋_GB2312" w:cs="仿宋_GB2312"/>
          <w:color w:val="auto"/>
          <w:sz w:val="32"/>
          <w:szCs w:val="40"/>
          <w:highlight w:val="none"/>
        </w:rPr>
        <w:t>”。</w:t>
      </w:r>
      <w:r>
        <w:rPr>
          <w:rFonts w:hint="eastAsia" w:ascii="仿宋_GB2312" w:hAnsi="仿宋_GB2312" w:eastAsia="仿宋_GB2312" w:cs="仿宋_GB2312"/>
          <w:color w:val="auto"/>
          <w:sz w:val="32"/>
          <w:szCs w:val="40"/>
          <w:highlight w:val="none"/>
          <w:lang w:val="en-US"/>
        </w:rPr>
        <w:t>具体得分情况如下表所示：</w:t>
      </w:r>
    </w:p>
    <w:p>
      <w:pPr>
        <w:pStyle w:val="6"/>
        <w:keepNext/>
        <w:keepLines w:val="0"/>
        <w:pageBreakBefore w:val="0"/>
        <w:widowControl w:val="0"/>
        <w:kinsoku/>
        <w:wordWrap/>
        <w:overflowPunct/>
        <w:topLinePunct w:val="0"/>
        <w:autoSpaceDE/>
        <w:autoSpaceDN/>
        <w:bidi w:val="0"/>
        <w:adjustRightInd/>
        <w:snapToGrid/>
        <w:textAlignment w:val="auto"/>
        <w:rPr>
          <w:rFonts w:hint="eastAsia" w:eastAsia="宋体"/>
          <w:color w:val="auto"/>
          <w:highlight w:val="none"/>
          <w:lang w:eastAsia="zh-CN"/>
        </w:rPr>
      </w:pPr>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5</w:t>
      </w:r>
      <w:r>
        <w:rPr>
          <w:color w:val="auto"/>
          <w:highlight w:val="none"/>
        </w:rPr>
        <w:fldChar w:fldCharType="end"/>
      </w:r>
      <w:r>
        <w:rPr>
          <w:rFonts w:hint="eastAsia"/>
          <w:color w:val="auto"/>
          <w:highlight w:val="none"/>
          <w:lang w:eastAsia="zh-CN"/>
        </w:rPr>
        <w:t xml:space="preserve"> 支持集成电路产业发展资金政策绩效评价得分情况表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7"/>
        <w:gridCol w:w="2087"/>
        <w:gridCol w:w="2087"/>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一级指标</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指标分值</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得分</w:t>
            </w:r>
          </w:p>
        </w:tc>
        <w:tc>
          <w:tcPr>
            <w:tcW w:w="2088"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政策制定</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20.00</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20.00</w:t>
            </w:r>
          </w:p>
        </w:tc>
        <w:tc>
          <w:tcPr>
            <w:tcW w:w="2088"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政策实施</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20.00</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16.55</w:t>
            </w:r>
          </w:p>
        </w:tc>
        <w:tc>
          <w:tcPr>
            <w:tcW w:w="2088"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政策效果</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60.00</w:t>
            </w:r>
          </w:p>
        </w:tc>
        <w:tc>
          <w:tcPr>
            <w:tcW w:w="2087"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50.29</w:t>
            </w:r>
          </w:p>
        </w:tc>
        <w:tc>
          <w:tcPr>
            <w:tcW w:w="2088" w:type="dxa"/>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87" w:type="dxa"/>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合计</w:t>
            </w:r>
          </w:p>
        </w:tc>
        <w:tc>
          <w:tcPr>
            <w:tcW w:w="2087" w:type="dxa"/>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100.00</w:t>
            </w:r>
          </w:p>
        </w:tc>
        <w:tc>
          <w:tcPr>
            <w:tcW w:w="2087" w:type="dxa"/>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86.84</w:t>
            </w:r>
          </w:p>
        </w:tc>
        <w:tc>
          <w:tcPr>
            <w:tcW w:w="2088" w:type="dxa"/>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86.84%</w:t>
            </w:r>
          </w:p>
        </w:tc>
      </w:tr>
    </w:tbl>
    <w:p>
      <w:pPr>
        <w:pStyle w:val="3"/>
        <w:keepNext/>
        <w:pageBreakBefore w:val="0"/>
        <w:widowControl w:val="0"/>
        <w:kinsoku/>
        <w:wordWrap/>
        <w:overflowPunct/>
        <w:topLinePunct w:val="0"/>
        <w:autoSpaceDE/>
        <w:autoSpaceDN/>
        <w:bidi w:val="0"/>
        <w:adjustRightInd/>
        <w:snapToGrid/>
        <w:textAlignment w:val="auto"/>
        <w:rPr>
          <w:rFonts w:ascii="楷体_GB2312" w:hAnsi="楷体_GB2312" w:eastAsia="楷体_GB2312" w:cs="楷体_GB2312"/>
          <w:color w:val="auto"/>
          <w:szCs w:val="40"/>
          <w:highlight w:val="none"/>
        </w:rPr>
      </w:pPr>
      <w:bookmarkStart w:id="70" w:name="_Toc19299"/>
      <w:bookmarkStart w:id="71" w:name="_Toc17475"/>
      <w:bookmarkStart w:id="72" w:name="_Toc18603"/>
      <w:bookmarkStart w:id="73" w:name="_Toc23000"/>
      <w:bookmarkStart w:id="74" w:name="_Toc868"/>
      <w:r>
        <w:rPr>
          <w:rFonts w:hint="eastAsia" w:ascii="楷体_GB2312" w:hAnsi="楷体_GB2312" w:eastAsia="楷体_GB2312" w:cstheme="minorBidi"/>
          <w:b w:val="0"/>
          <w:color w:val="auto"/>
          <w:kern w:val="2"/>
          <w:szCs w:val="24"/>
          <w:highlight w:val="none"/>
          <w:lang w:val="en-US" w:eastAsia="zh-CN" w:bidi="ar-SA"/>
        </w:rPr>
        <w:t>（二）</w:t>
      </w:r>
      <w:r>
        <w:rPr>
          <w:rFonts w:hint="eastAsia"/>
          <w:color w:val="auto"/>
          <w:highlight w:val="none"/>
        </w:rPr>
        <w:t>指标分析</w:t>
      </w:r>
      <w:bookmarkEnd w:id="70"/>
      <w:bookmarkEnd w:id="71"/>
      <w:bookmarkEnd w:id="72"/>
      <w:bookmarkEnd w:id="73"/>
      <w:bookmarkEnd w:id="74"/>
    </w:p>
    <w:p>
      <w:pPr>
        <w:keepNext/>
        <w:pageBreakBefore w:val="0"/>
        <w:widowControl w:val="0"/>
        <w:kinsoku/>
        <w:wordWrap/>
        <w:overflowPunct/>
        <w:topLinePunct w:val="0"/>
        <w:autoSpaceDE/>
        <w:autoSpaceDN/>
        <w:bidi w:val="0"/>
        <w:adjustRightInd/>
        <w:snapToGrid/>
        <w:spacing w:line="600" w:lineRule="exact"/>
        <w:textAlignment w:val="auto"/>
        <w:outlineLvl w:val="9"/>
        <w:rPr>
          <w:rFonts w:hint="eastAsia"/>
          <w:b/>
          <w:bCs/>
          <w:color w:val="auto"/>
          <w:highlight w:val="none"/>
          <w:lang w:val="en-US" w:eastAsia="zh-CN"/>
        </w:rPr>
      </w:pPr>
      <w:r>
        <w:rPr>
          <w:rFonts w:hint="eastAsia"/>
          <w:b/>
          <w:bCs/>
          <w:color w:val="auto"/>
          <w:highlight w:val="none"/>
        </w:rPr>
        <w:t>1.</w:t>
      </w:r>
      <w:r>
        <w:rPr>
          <w:rFonts w:hint="eastAsia"/>
          <w:b/>
          <w:bCs/>
          <w:color w:val="auto"/>
          <w:highlight w:val="none"/>
          <w:lang w:val="en-US" w:eastAsia="zh-CN"/>
        </w:rPr>
        <w:t>政策制定</w:t>
      </w:r>
    </w:p>
    <w:p>
      <w:pPr>
        <w:keepNext w:val="0"/>
        <w:pageBreakBefore w:val="0"/>
        <w:widowControl/>
        <w:kinsoku/>
        <w:wordWrap/>
        <w:overflowPunct/>
        <w:topLinePunct w:val="0"/>
        <w:autoSpaceDE/>
        <w:autoSpaceDN/>
        <w:bidi w:val="0"/>
        <w:adjustRightInd/>
        <w:snapToGrid/>
        <w:spacing w:line="600" w:lineRule="exact"/>
        <w:textAlignment w:val="auto"/>
        <w:outlineLvl w:val="9"/>
        <w:rPr>
          <w:rFonts w:hint="eastAsia"/>
          <w:color w:val="auto"/>
          <w:highlight w:val="none"/>
          <w:lang w:val="en-US" w:eastAsia="zh-CN"/>
        </w:rPr>
      </w:pPr>
      <w:r>
        <w:rPr>
          <w:rFonts w:hint="eastAsia"/>
          <w:color w:val="auto"/>
          <w:highlight w:val="none"/>
        </w:rPr>
        <w:t>指标</w:t>
      </w:r>
      <w:r>
        <w:rPr>
          <w:rFonts w:hint="eastAsia"/>
          <w:color w:val="auto"/>
          <w:highlight w:val="none"/>
          <w:lang w:val="en-US" w:eastAsia="zh-CN"/>
        </w:rPr>
        <w:t>分值20.00分，</w:t>
      </w:r>
      <w:r>
        <w:rPr>
          <w:rFonts w:hint="default" w:ascii="仿宋_GB2312" w:hAnsi="仿宋_GB2312" w:eastAsia="仿宋_GB2312" w:cstheme="minorBidi"/>
          <w:color w:val="auto"/>
          <w:highlight w:val="none"/>
          <w:lang w:val="en-US" w:eastAsia="zh-CN"/>
        </w:rPr>
        <w:t>得分</w:t>
      </w:r>
      <w:r>
        <w:rPr>
          <w:rFonts w:hint="eastAsia" w:cstheme="minorBidi"/>
          <w:color w:val="auto"/>
          <w:highlight w:val="none"/>
          <w:lang w:val="en-US" w:eastAsia="zh-CN"/>
        </w:rPr>
        <w:t>20.00</w:t>
      </w:r>
      <w:r>
        <w:rPr>
          <w:rFonts w:hint="default" w:ascii="仿宋_GB2312" w:hAnsi="仿宋_GB2312" w:eastAsia="仿宋_GB2312" w:cstheme="minorBidi"/>
          <w:color w:val="auto"/>
          <w:highlight w:val="none"/>
          <w:lang w:val="en-US" w:eastAsia="zh-CN"/>
        </w:rPr>
        <w:t>分，得分率为</w:t>
      </w:r>
      <w:r>
        <w:rPr>
          <w:rFonts w:hint="eastAsia" w:cstheme="minorBidi"/>
          <w:color w:val="auto"/>
          <w:highlight w:val="none"/>
          <w:lang w:val="en-US" w:eastAsia="zh-CN"/>
        </w:rPr>
        <w:t>100</w:t>
      </w:r>
      <w:r>
        <w:rPr>
          <w:rFonts w:hint="default" w:ascii="仿宋_GB2312" w:hAnsi="仿宋_GB2312" w:eastAsia="仿宋_GB2312" w:cstheme="minorBidi"/>
          <w:color w:val="auto"/>
          <w:highlight w:val="none"/>
          <w:lang w:val="en-US" w:eastAsia="zh-CN"/>
        </w:rPr>
        <w:t>%。</w:t>
      </w:r>
      <w:r>
        <w:rPr>
          <w:rFonts w:hint="eastAsia"/>
          <w:color w:val="auto"/>
          <w:highlight w:val="none"/>
          <w:lang w:val="en-US" w:eastAsia="zh-CN"/>
        </w:rPr>
        <w:t>2022年，青岛市工业和信息化局遵循上级政策导向，制定了《青岛市加快集成电路产业发展的若干政策》。同年4月，该政策通过青岛市第十七届人民政府第2次常务会议，政策设立程序规范。政策内容符合《国务院关于印发〈新时期促进集成电路产业和软件产业高质量发展若干政策〉的通知》（国发〔2020〕8号）、《山东省人民政府印发〈关于支持八大发展战略的财政政策〉的通知》（鲁政字〔2020〕221号）、《青岛市人民政府办公厅关于印发〈青岛市加快集成电路产业发展若干政策措施〉的通知》（青政办字〔2022〕26号）等文件要求。政策的绩效目标与实际工作内容相关性较强，预期的产出效益和效果符合正常的业绩水平，与预算确定的项目资金量相匹配。在政策制定期间，青岛市工业和信息化局参考深圳、宁波、成都等地市集成电路产业的相关政策要求，并开展了集成电路企业摸底调查，支出标准与政策目标、现实需求、经济发展情况等相匹配。</w:t>
      </w:r>
    </w:p>
    <w:p>
      <w:pPr>
        <w:keepNext w:val="0"/>
        <w:pageBreakBefore w:val="0"/>
        <w:widowControl w:val="0"/>
        <w:kinsoku/>
        <w:wordWrap/>
        <w:overflowPunct/>
        <w:topLinePunct w:val="0"/>
        <w:autoSpaceDE/>
        <w:autoSpaceDN/>
        <w:bidi w:val="0"/>
        <w:adjustRightInd/>
        <w:snapToGrid/>
        <w:spacing w:line="600" w:lineRule="exact"/>
        <w:textAlignment w:val="auto"/>
        <w:outlineLvl w:val="9"/>
        <w:rPr>
          <w:rFonts w:hint="eastAsia" w:cs="仿宋_GB2312"/>
          <w:b/>
          <w:bCs/>
          <w:color w:val="auto"/>
          <w:highlight w:val="none"/>
          <w:lang w:val="en-US" w:eastAsia="zh-CN"/>
        </w:rPr>
      </w:pPr>
      <w:r>
        <w:rPr>
          <w:rFonts w:hint="eastAsia" w:cs="仿宋_GB2312"/>
          <w:b/>
          <w:bCs/>
          <w:color w:val="auto"/>
          <w:highlight w:val="none"/>
          <w:lang w:val="en-US" w:eastAsia="zh-CN"/>
        </w:rPr>
        <w:t>2.政策实施</w:t>
      </w:r>
    </w:p>
    <w:p>
      <w:pPr>
        <w:keepNext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指标分值20.00分，得分</w:t>
      </w:r>
      <w:r>
        <w:rPr>
          <w:rFonts w:hint="eastAsia" w:cs="仿宋_GB2312"/>
          <w:color w:val="auto"/>
          <w:highlight w:val="none"/>
          <w:lang w:val="en-US" w:eastAsia="zh-CN"/>
        </w:rPr>
        <w:t>16.55</w:t>
      </w:r>
      <w:r>
        <w:rPr>
          <w:rFonts w:hint="eastAsia" w:ascii="仿宋_GB2312" w:hAnsi="仿宋_GB2312" w:eastAsia="仿宋_GB2312" w:cs="仿宋_GB2312"/>
          <w:color w:val="auto"/>
          <w:highlight w:val="none"/>
          <w:lang w:val="en-US" w:eastAsia="zh-CN"/>
        </w:rPr>
        <w:t>分，得分率为</w:t>
      </w:r>
      <w:r>
        <w:rPr>
          <w:rFonts w:hint="eastAsia" w:cs="仿宋_GB2312"/>
          <w:color w:val="auto"/>
          <w:highlight w:val="none"/>
          <w:lang w:val="en-US" w:eastAsia="zh-CN"/>
        </w:rPr>
        <w:t>82.75</w:t>
      </w:r>
      <w:r>
        <w:rPr>
          <w:rFonts w:hint="eastAsia" w:ascii="仿宋_GB2312" w:hAnsi="仿宋_GB2312" w:eastAsia="仿宋_GB2312" w:cs="仿宋_GB2312"/>
          <w:color w:val="auto"/>
          <w:highlight w:val="none"/>
          <w:lang w:val="en-US" w:eastAsia="zh-CN"/>
        </w:rPr>
        <w:t>%。</w:t>
      </w:r>
      <w:r>
        <w:rPr>
          <w:rFonts w:hint="eastAsia" w:ascii="仿宋_GB2312" w:hAnsi="仿宋_GB2312" w:eastAsia="仿宋_GB2312" w:cs="仿宋_GB2312"/>
          <w:b/>
          <w:bCs/>
          <w:color w:val="auto"/>
          <w:highlight w:val="none"/>
          <w:lang w:val="en-US" w:eastAsia="zh-CN"/>
        </w:rPr>
        <w:t>资金管理方面</w:t>
      </w:r>
      <w:r>
        <w:rPr>
          <w:rFonts w:hint="eastAsia" w:cs="仿宋_GB2312"/>
          <w:b/>
          <w:bCs/>
          <w:color w:val="auto"/>
          <w:highlight w:val="none"/>
          <w:lang w:val="en-US" w:eastAsia="zh-CN"/>
        </w:rPr>
        <w:t>，</w:t>
      </w:r>
      <w:r>
        <w:rPr>
          <w:rFonts w:hint="eastAsia" w:cs="仿宋_GB2312"/>
          <w:b w:val="0"/>
          <w:bCs w:val="0"/>
          <w:color w:val="auto"/>
          <w:highlight w:val="none"/>
          <w:lang w:val="en-US" w:eastAsia="zh-CN"/>
        </w:rPr>
        <w:t>2024年6月4日，市财政局将奖补资金1325万元全部拨付至</w:t>
      </w:r>
      <w:r>
        <w:rPr>
          <w:rFonts w:hint="eastAsia" w:cs="Times New Roman" w:hAnsiTheme="minorHAnsi"/>
          <w:b w:val="0"/>
          <w:bCs w:val="0"/>
          <w:kern w:val="2"/>
          <w:sz w:val="32"/>
          <w:szCs w:val="22"/>
          <w:highlight w:val="none"/>
          <w:lang w:val="en-US" w:eastAsia="zh-CN" w:bidi="ar-SA"/>
        </w:rPr>
        <w:t>企业所在的崂山区、西海岸新区等5个</w:t>
      </w:r>
      <w:r>
        <w:rPr>
          <w:rFonts w:hint="eastAsia" w:ascii="仿宋_GB2312" w:eastAsia="仿宋_GB2312" w:cs="Times New Roman" w:hAnsiTheme="minorHAnsi"/>
          <w:b w:val="0"/>
          <w:bCs w:val="0"/>
          <w:kern w:val="2"/>
          <w:sz w:val="32"/>
          <w:szCs w:val="22"/>
          <w:highlight w:val="none"/>
          <w:lang w:val="en-US" w:eastAsia="zh-CN" w:bidi="ar-SA"/>
        </w:rPr>
        <w:t>区</w:t>
      </w:r>
      <w:r>
        <w:rPr>
          <w:rFonts w:hint="eastAsia" w:cs="Times New Roman" w:hAnsiTheme="minorHAnsi"/>
          <w:b w:val="0"/>
          <w:bCs w:val="0"/>
          <w:kern w:val="2"/>
          <w:sz w:val="32"/>
          <w:szCs w:val="22"/>
          <w:highlight w:val="none"/>
          <w:lang w:val="en-US" w:eastAsia="zh-CN" w:bidi="ar-SA"/>
        </w:rPr>
        <w:t>财政局</w:t>
      </w:r>
      <w:r>
        <w:rPr>
          <w:rFonts w:hint="eastAsia" w:cs="Times New Roman" w:hAnsiTheme="minorHAnsi"/>
          <w:b w:val="0"/>
          <w:bCs w:val="0"/>
          <w:color w:val="auto"/>
          <w:kern w:val="2"/>
          <w:sz w:val="32"/>
          <w:szCs w:val="22"/>
          <w:highlight w:val="none"/>
          <w:lang w:val="en-US" w:eastAsia="zh-CN" w:bidi="ar-SA"/>
        </w:rPr>
        <w:t>，</w:t>
      </w:r>
      <w:r>
        <w:rPr>
          <w:rFonts w:hint="eastAsia" w:cs="仿宋_GB2312"/>
          <w:color w:val="auto"/>
          <w:highlight w:val="none"/>
          <w:lang w:val="en-US" w:eastAsia="zh-CN"/>
        </w:rPr>
        <w:t>补助</w:t>
      </w:r>
      <w:r>
        <w:rPr>
          <w:rFonts w:hint="eastAsia" w:ascii="仿宋_GB2312" w:hAnsi="仿宋_GB2312" w:eastAsia="仿宋_GB2312" w:cs="仿宋_GB2312"/>
          <w:color w:val="auto"/>
          <w:highlight w:val="none"/>
          <w:lang w:val="en-US" w:eastAsia="zh-CN"/>
        </w:rPr>
        <w:t>资金</w:t>
      </w:r>
      <w:r>
        <w:rPr>
          <w:rFonts w:hint="eastAsia" w:cs="仿宋_GB2312"/>
          <w:color w:val="auto"/>
          <w:highlight w:val="none"/>
          <w:lang w:val="en-US" w:eastAsia="zh-CN"/>
        </w:rPr>
        <w:t>支出</w:t>
      </w:r>
      <w:r>
        <w:rPr>
          <w:rFonts w:hint="eastAsia" w:ascii="仿宋_GB2312" w:hAnsi="仿宋_GB2312" w:eastAsia="仿宋_GB2312" w:cs="仿宋_GB2312"/>
          <w:color w:val="auto"/>
          <w:highlight w:val="none"/>
          <w:lang w:val="en-US" w:eastAsia="zh-CN"/>
        </w:rPr>
        <w:t>流程严谨、规范</w:t>
      </w:r>
      <w:r>
        <w:rPr>
          <w:rFonts w:hint="eastAsia" w:cs="仿宋_GB2312"/>
          <w:color w:val="auto"/>
          <w:highlight w:val="none"/>
          <w:lang w:val="en-US" w:eastAsia="zh-CN"/>
        </w:rPr>
        <w:t>。</w:t>
      </w:r>
      <w:r>
        <w:rPr>
          <w:rFonts w:hint="eastAsia" w:cs="Times New Roman" w:hAnsiTheme="minorHAnsi"/>
          <w:b w:val="0"/>
          <w:bCs w:val="0"/>
          <w:color w:val="auto"/>
          <w:kern w:val="2"/>
          <w:sz w:val="32"/>
          <w:szCs w:val="22"/>
          <w:highlight w:val="none"/>
          <w:lang w:val="en-US" w:eastAsia="zh-CN" w:bidi="ar-SA"/>
        </w:rPr>
        <w:t>但截至评价日，仅西海岸新区、高新区2个区财政局将奖补资金拨付至企业，共计支出资金243万元，预算执行率为18.34%。</w:t>
      </w:r>
      <w:r>
        <w:rPr>
          <w:rFonts w:hint="eastAsia" w:cs="仿宋_GB2312"/>
          <w:b/>
          <w:bCs/>
          <w:color w:val="auto"/>
          <w:highlight w:val="none"/>
          <w:lang w:val="en-US" w:eastAsia="zh-CN"/>
        </w:rPr>
        <w:t>政策制度</w:t>
      </w:r>
      <w:r>
        <w:rPr>
          <w:rFonts w:hint="eastAsia" w:ascii="仿宋_GB2312" w:hAnsi="仿宋_GB2312" w:eastAsia="仿宋_GB2312" w:cs="仿宋_GB2312"/>
          <w:b/>
          <w:bCs/>
          <w:color w:val="auto"/>
          <w:highlight w:val="none"/>
          <w:lang w:val="en-US" w:eastAsia="zh-CN"/>
        </w:rPr>
        <w:t>方面，</w:t>
      </w:r>
      <w:r>
        <w:rPr>
          <w:rFonts w:hint="eastAsia" w:cs="仿宋_GB2312"/>
          <w:color w:val="auto"/>
          <w:highlight w:val="none"/>
          <w:lang w:val="en-US" w:eastAsia="zh-CN"/>
        </w:rPr>
        <w:t>政策主管部门管理制度不够健全：一是在现行的财务管理制度中，未明确奖补资金的发放时限；二是尚未建立完善的业务管理制度体系，对于市级复核环节的时间节点尚未作出明确规定</w:t>
      </w:r>
      <w:r>
        <w:rPr>
          <w:rFonts w:hint="default"/>
          <w:highlight w:val="none"/>
        </w:rPr>
        <w:t>。</w:t>
      </w:r>
      <w:r>
        <w:rPr>
          <w:rFonts w:hint="eastAsia" w:cs="仿宋_GB2312"/>
          <w:b/>
          <w:bCs/>
          <w:color w:val="auto"/>
          <w:highlight w:val="none"/>
          <w:lang w:val="en-US" w:eastAsia="zh-CN"/>
        </w:rPr>
        <w:t>申报及审核方面，</w:t>
      </w:r>
      <w:r>
        <w:rPr>
          <w:rFonts w:hint="eastAsia" w:cs="仿宋_GB2312"/>
          <w:color w:val="auto"/>
          <w:highlight w:val="none"/>
          <w:lang w:val="en-US" w:eastAsia="zh-CN"/>
        </w:rPr>
        <w:t>企业申报资料、申报流程符合</w:t>
      </w:r>
      <w:r>
        <w:rPr>
          <w:rFonts w:hint="eastAsia" w:cs="Times New Roman" w:hAnsiTheme="minorHAnsi"/>
          <w:b w:val="0"/>
          <w:bCs w:val="0"/>
          <w:color w:val="auto"/>
          <w:kern w:val="2"/>
          <w:sz w:val="32"/>
          <w:szCs w:val="22"/>
          <w:highlight w:val="none"/>
          <w:lang w:val="en-US" w:eastAsia="zh-CN" w:bidi="ar-SA"/>
        </w:rPr>
        <w:t>《实施细则》</w:t>
      </w:r>
      <w:r>
        <w:rPr>
          <w:rFonts w:hint="eastAsia" w:cs="仿宋_GB2312"/>
          <w:color w:val="auto"/>
          <w:highlight w:val="none"/>
          <w:lang w:val="en-US" w:eastAsia="zh-CN"/>
        </w:rPr>
        <w:t>的要求，并通过区工业和信息化主管部门初审、市工业互联网创新发展中心完整性审核、市工业和信息化局复审、公开公示等确定奖补企业。</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cs="仿宋_GB2312"/>
          <w:b/>
          <w:bCs/>
          <w:color w:val="auto"/>
          <w:highlight w:val="none"/>
          <w:lang w:val="en-US" w:eastAsia="zh-CN"/>
        </w:rPr>
      </w:pPr>
      <w:r>
        <w:rPr>
          <w:rFonts w:hint="eastAsia" w:cs="仿宋_GB2312"/>
          <w:b/>
          <w:bCs/>
          <w:color w:val="auto"/>
          <w:highlight w:val="none"/>
          <w:lang w:val="en-US" w:eastAsia="zh-CN"/>
        </w:rPr>
        <w:t>3.政策效果</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highlight w:val="none"/>
          <w:lang w:val="en-US" w:eastAsia="zh-CN"/>
        </w:rPr>
      </w:pPr>
      <w:r>
        <w:rPr>
          <w:rFonts w:hint="eastAsia" w:ascii="仿宋_GB2312" w:hAnsi="仿宋_GB2312" w:eastAsia="仿宋_GB2312" w:cs="仿宋_GB2312"/>
          <w:color w:val="auto"/>
          <w:highlight w:val="none"/>
          <w:lang w:val="en-US" w:eastAsia="zh-CN"/>
        </w:rPr>
        <w:t>指标分值</w:t>
      </w:r>
      <w:r>
        <w:rPr>
          <w:rFonts w:hint="eastAsia" w:cs="仿宋_GB2312"/>
          <w:color w:val="auto"/>
          <w:highlight w:val="none"/>
          <w:lang w:val="en-US" w:eastAsia="zh-CN"/>
        </w:rPr>
        <w:t>60</w:t>
      </w:r>
      <w:r>
        <w:rPr>
          <w:rFonts w:hint="eastAsia" w:ascii="仿宋_GB2312" w:hAnsi="仿宋_GB2312" w:eastAsia="仿宋_GB2312" w:cs="仿宋_GB2312"/>
          <w:color w:val="auto"/>
          <w:highlight w:val="none"/>
          <w:lang w:val="en-US" w:eastAsia="zh-CN"/>
        </w:rPr>
        <w:t>.00分，得分</w:t>
      </w:r>
      <w:r>
        <w:rPr>
          <w:rFonts w:hint="eastAsia" w:cs="仿宋_GB2312"/>
          <w:color w:val="auto"/>
          <w:highlight w:val="none"/>
          <w:lang w:val="en-US" w:eastAsia="zh-CN"/>
        </w:rPr>
        <w:t>50.29</w:t>
      </w:r>
      <w:r>
        <w:rPr>
          <w:rFonts w:hint="eastAsia" w:ascii="仿宋_GB2312" w:hAnsi="仿宋_GB2312" w:eastAsia="仿宋_GB2312" w:cs="仿宋_GB2312"/>
          <w:color w:val="auto"/>
          <w:highlight w:val="none"/>
          <w:lang w:val="en-US" w:eastAsia="zh-CN"/>
        </w:rPr>
        <w:t>分，得分率为</w:t>
      </w:r>
      <w:r>
        <w:rPr>
          <w:rFonts w:hint="eastAsia" w:cs="仿宋_GB2312"/>
          <w:color w:val="auto"/>
          <w:highlight w:val="none"/>
          <w:lang w:val="en-US" w:eastAsia="zh-CN"/>
        </w:rPr>
        <w:t>83.82</w:t>
      </w:r>
      <w:r>
        <w:rPr>
          <w:rFonts w:hint="eastAsia" w:ascii="仿宋_GB2312" w:hAnsi="仿宋_GB2312" w:eastAsia="仿宋_GB2312" w:cs="仿宋_GB2312"/>
          <w:color w:val="auto"/>
          <w:highlight w:val="none"/>
          <w:lang w:val="en-US" w:eastAsia="zh-CN"/>
        </w:rPr>
        <w:t>%。2023年7月23日</w:t>
      </w:r>
      <w:r>
        <w:rPr>
          <w:rFonts w:hint="eastAsia" w:cs="仿宋_GB2312"/>
          <w:color w:val="auto"/>
          <w:highlight w:val="none"/>
          <w:lang w:val="en-US" w:eastAsia="zh-CN"/>
        </w:rPr>
        <w:t>，市工业和信息化局发布《青岛市2024年度集成电路产业发展预算资金项目申报指南》，计划补助EDA工具软件、IP研发、MPW流片、工程流片、自主设计芯片、自主关键设备和材料、公共服务平台、企业上规模等8项条款，通过对比济南市、广州市、成都市、深圳市等地区同类政策，青岛市集成电路政策在奖补标准、奖补金额低于其他地区（见附件5 政策标准比对表）的情况下，仍有效带动了集成电路产业高端人才的增加，集成电路产业基本进入规模扩张、技术升级与生态优化的协同发展阶段。但在政策实施过程中存在以下问题：一</w:t>
      </w:r>
      <w:r>
        <w:rPr>
          <w:rFonts w:hint="eastAsia" w:cs="仿宋_GB2312"/>
          <w:b/>
          <w:bCs/>
          <w:color w:val="auto"/>
          <w:highlight w:val="none"/>
          <w:lang w:val="en-US" w:eastAsia="zh-CN"/>
        </w:rPr>
        <w:t>是</w:t>
      </w:r>
      <w:r>
        <w:rPr>
          <w:rFonts w:hint="eastAsia" w:cs="仿宋_GB2312"/>
          <w:b w:val="0"/>
          <w:bCs w:val="0"/>
          <w:color w:val="auto"/>
          <w:highlight w:val="none"/>
          <w:lang w:val="en-US" w:eastAsia="zh-CN"/>
        </w:rPr>
        <w:t>在政策实施期间，2023年申报企业数量为24家，2024年申报企业数量为23家，未实现增长。</w:t>
      </w:r>
      <w:r>
        <w:rPr>
          <w:rFonts w:hint="eastAsia" w:cs="仿宋_GB2312"/>
          <w:b/>
          <w:bCs/>
          <w:color w:val="auto"/>
          <w:highlight w:val="none"/>
          <w:lang w:val="en-US" w:eastAsia="zh-CN"/>
        </w:rPr>
        <w:t>二是</w:t>
      </w:r>
      <w:r>
        <w:rPr>
          <w:rFonts w:hint="eastAsia" w:cs="仿宋_GB2312"/>
          <w:color w:val="auto"/>
          <w:highlight w:val="none"/>
          <w:lang w:val="en-US" w:eastAsia="zh-CN"/>
        </w:rPr>
        <w:t>在后续制度完善方面，市工业和信息化局尚未出台相应的跟踪问效、跟进服务等制度措施</w:t>
      </w:r>
      <w:r>
        <w:rPr>
          <w:rFonts w:hint="eastAsia"/>
          <w:color w:val="auto"/>
          <w:highlight w:val="none"/>
          <w:lang w:val="en-US" w:eastAsia="zh-CN"/>
        </w:rPr>
        <w:t>。</w:t>
      </w:r>
      <w:r>
        <w:rPr>
          <w:rFonts w:hint="eastAsia"/>
          <w:b/>
          <w:bCs/>
          <w:color w:val="auto"/>
          <w:highlight w:val="none"/>
          <w:lang w:val="en-US" w:eastAsia="zh-CN"/>
        </w:rPr>
        <w:t>三是</w:t>
      </w:r>
      <w:r>
        <w:rPr>
          <w:rFonts w:hint="eastAsia" w:cs="仿宋_GB2312"/>
          <w:color w:val="auto"/>
          <w:highlight w:val="none"/>
          <w:lang w:val="en-US" w:eastAsia="zh-CN"/>
        </w:rPr>
        <w:t>奖补政策的激励效果不够显著，评价组对</w:t>
      </w:r>
      <w:r>
        <w:rPr>
          <w:rFonts w:hint="eastAsia"/>
          <w:highlight w:val="none"/>
          <w:lang w:val="en-US" w:eastAsia="zh-CN"/>
        </w:rPr>
        <w:t>19家集成电路企业近三年的经营状况进行分析，纳税方面，2023年、2024年19家集成电路企业纳税总额分别较上年降低3.93%和12.23%。</w:t>
      </w:r>
      <w:r>
        <w:rPr>
          <w:rFonts w:hint="eastAsia"/>
          <w:b/>
          <w:bCs/>
          <w:highlight w:val="none"/>
          <w:lang w:val="en-US" w:eastAsia="zh-CN"/>
        </w:rPr>
        <w:t>四是</w:t>
      </w:r>
      <w:r>
        <w:rPr>
          <w:rFonts w:hint="eastAsia"/>
          <w:b w:val="0"/>
          <w:bCs w:val="0"/>
          <w:highlight w:val="none"/>
          <w:lang w:val="en-US" w:eastAsia="zh-CN"/>
        </w:rPr>
        <w:t>根据市工业和信息化局提供的企业名单，</w:t>
      </w:r>
      <w:r>
        <w:rPr>
          <w:rFonts w:hint="default"/>
          <w:color w:val="auto"/>
          <w:highlight w:val="none"/>
          <w:lang w:val="en-US" w:eastAsia="zh-CN"/>
        </w:rPr>
        <w:t>仅一家第三方服务平台企业</w:t>
      </w:r>
      <w:r>
        <w:rPr>
          <w:rFonts w:hint="eastAsia"/>
          <w:color w:val="auto"/>
          <w:highlight w:val="none"/>
          <w:lang w:val="en-US" w:eastAsia="zh-CN"/>
        </w:rPr>
        <w:t>申报奖补政策</w:t>
      </w:r>
      <w:r>
        <w:rPr>
          <w:rFonts w:hint="default"/>
          <w:color w:val="auto"/>
          <w:highlight w:val="none"/>
          <w:lang w:val="en-US" w:eastAsia="zh-CN"/>
        </w:rPr>
        <w:t>，</w:t>
      </w:r>
      <w:r>
        <w:rPr>
          <w:rFonts w:hint="eastAsia"/>
          <w:highlight w:val="none"/>
          <w:lang w:val="en-US" w:eastAsia="zh-CN"/>
        </w:rPr>
        <w:t>该企业</w:t>
      </w:r>
      <w:r>
        <w:rPr>
          <w:rFonts w:hint="default"/>
          <w:color w:val="auto"/>
          <w:highlight w:val="none"/>
          <w:lang w:val="en-US" w:eastAsia="zh-CN"/>
        </w:rPr>
        <w:t>由于</w:t>
      </w:r>
      <w:r>
        <w:rPr>
          <w:rFonts w:hint="eastAsia"/>
          <w:color w:val="auto"/>
          <w:highlight w:val="none"/>
          <w:lang w:val="en-US" w:eastAsia="zh-CN"/>
        </w:rPr>
        <w:t>服务</w:t>
      </w:r>
      <w:r>
        <w:rPr>
          <w:rFonts w:hint="default"/>
          <w:color w:val="auto"/>
          <w:highlight w:val="none"/>
          <w:lang w:val="en-US" w:eastAsia="zh-CN"/>
        </w:rPr>
        <w:t>平台相关License</w:t>
      </w:r>
      <w:r>
        <w:rPr>
          <w:rStyle w:val="24"/>
          <w:rFonts w:hint="default"/>
          <w:color w:val="auto"/>
          <w:highlight w:val="none"/>
          <w:lang w:val="en-US" w:eastAsia="zh-CN"/>
        </w:rPr>
        <w:footnoteReference w:id="0"/>
      </w:r>
      <w:r>
        <w:rPr>
          <w:rFonts w:hint="default"/>
          <w:color w:val="auto"/>
          <w:highlight w:val="none"/>
          <w:lang w:val="en-US" w:eastAsia="zh-CN"/>
        </w:rPr>
        <w:t>于2023年陆续到期，服务覆盖企业逐渐减少，2022年度服务集成电路企业14家，2023年度降至7家，2024年度进一步减少至3家，呈现逐年递减态势。</w:t>
      </w:r>
      <w:r>
        <w:rPr>
          <w:rFonts w:hint="eastAsia"/>
          <w:b/>
          <w:bCs/>
          <w:color w:val="auto"/>
          <w:highlight w:val="none"/>
          <w:lang w:val="en-US" w:eastAsia="zh-CN"/>
        </w:rPr>
        <w:t>五</w:t>
      </w:r>
      <w:r>
        <w:rPr>
          <w:rFonts w:hint="default"/>
          <w:b/>
          <w:bCs w:val="0"/>
          <w:color w:val="auto"/>
          <w:highlight w:val="none"/>
          <w:lang w:val="en-US" w:eastAsia="zh-CN"/>
        </w:rPr>
        <w:t>是</w:t>
      </w:r>
      <w:r>
        <w:rPr>
          <w:rFonts w:hint="default"/>
          <w:b w:val="0"/>
          <w:bCs w:val="0"/>
          <w:highlight w:val="none"/>
          <w:lang w:val="en-US" w:eastAsia="zh-CN"/>
        </w:rPr>
        <w:t>政策实施期间第三方服务平台服务覆盖企业</w:t>
      </w:r>
      <w:r>
        <w:rPr>
          <w:rFonts w:hint="eastAsia"/>
          <w:b w:val="0"/>
          <w:bCs w:val="0"/>
          <w:highlight w:val="none"/>
          <w:lang w:val="en-US" w:eastAsia="zh-CN"/>
        </w:rPr>
        <w:t>20家</w:t>
      </w:r>
      <w:r>
        <w:rPr>
          <w:rStyle w:val="24"/>
          <w:rFonts w:hint="eastAsia"/>
          <w:b w:val="0"/>
          <w:bCs w:val="0"/>
          <w:highlight w:val="none"/>
          <w:lang w:val="en-US" w:eastAsia="zh-CN"/>
        </w:rPr>
        <w:footnoteReference w:id="1"/>
      </w:r>
      <w:r>
        <w:rPr>
          <w:rFonts w:hint="default"/>
          <w:b w:val="0"/>
          <w:bCs w:val="0"/>
          <w:color w:val="auto"/>
          <w:highlight w:val="none"/>
          <w:lang w:val="en-US" w:eastAsia="zh-CN"/>
        </w:rPr>
        <w:t>，其中，5家企业</w:t>
      </w:r>
      <w:r>
        <w:rPr>
          <w:rFonts w:hint="eastAsia"/>
          <w:b w:val="0"/>
          <w:bCs w:val="0"/>
          <w:color w:val="auto"/>
          <w:highlight w:val="none"/>
          <w:lang w:val="en-US" w:eastAsia="zh-CN"/>
        </w:rPr>
        <w:t>协助提供</w:t>
      </w:r>
      <w:r>
        <w:rPr>
          <w:rFonts w:hint="default"/>
          <w:b w:val="0"/>
          <w:bCs w:val="0"/>
          <w:color w:val="auto"/>
          <w:highlight w:val="none"/>
          <w:lang w:val="en-US" w:eastAsia="zh-CN"/>
        </w:rPr>
        <w:t>的</w:t>
      </w:r>
      <w:r>
        <w:rPr>
          <w:rFonts w:hint="eastAsia"/>
          <w:b w:val="0"/>
          <w:bCs w:val="0"/>
          <w:color w:val="auto"/>
          <w:highlight w:val="none"/>
          <w:lang w:val="en-US" w:eastAsia="zh-CN"/>
        </w:rPr>
        <w:t>营收</w:t>
      </w:r>
      <w:r>
        <w:rPr>
          <w:rFonts w:hint="default"/>
          <w:b w:val="0"/>
          <w:bCs w:val="0"/>
          <w:color w:val="auto"/>
          <w:highlight w:val="none"/>
          <w:lang w:val="en-US" w:eastAsia="zh-CN"/>
        </w:rPr>
        <w:t>、税收等经济数据</w:t>
      </w:r>
      <w:r>
        <w:rPr>
          <w:rFonts w:hint="eastAsia"/>
          <w:b w:val="0"/>
          <w:bCs w:val="0"/>
          <w:color w:val="auto"/>
          <w:highlight w:val="none"/>
          <w:lang w:val="en-US" w:eastAsia="zh-CN"/>
        </w:rPr>
        <w:t>显示</w:t>
      </w:r>
      <w:r>
        <w:rPr>
          <w:rFonts w:hint="default"/>
          <w:b w:val="0"/>
          <w:bCs w:val="0"/>
          <w:color w:val="auto"/>
          <w:highlight w:val="none"/>
          <w:lang w:val="en-US" w:eastAsia="zh-CN"/>
        </w:rPr>
        <w:t>，服务企业2023年</w:t>
      </w:r>
      <w:r>
        <w:rPr>
          <w:rFonts w:hint="eastAsia"/>
          <w:b w:val="0"/>
          <w:bCs w:val="0"/>
          <w:color w:val="auto"/>
          <w:highlight w:val="none"/>
          <w:lang w:val="en-US" w:eastAsia="zh-CN"/>
        </w:rPr>
        <w:t>营收</w:t>
      </w:r>
      <w:r>
        <w:rPr>
          <w:rFonts w:hint="default"/>
          <w:b w:val="0"/>
          <w:bCs w:val="0"/>
          <w:color w:val="auto"/>
          <w:highlight w:val="none"/>
          <w:lang w:val="en-US" w:eastAsia="zh-CN"/>
        </w:rPr>
        <w:t>总额较</w:t>
      </w:r>
      <w:r>
        <w:rPr>
          <w:rFonts w:hint="eastAsia"/>
          <w:b w:val="0"/>
          <w:bCs w:val="0"/>
          <w:color w:val="auto"/>
          <w:highlight w:val="none"/>
          <w:lang w:val="en-US" w:eastAsia="zh-CN"/>
        </w:rPr>
        <w:t>2022</w:t>
      </w:r>
      <w:r>
        <w:rPr>
          <w:rFonts w:hint="default"/>
          <w:b w:val="0"/>
          <w:bCs w:val="0"/>
          <w:color w:val="auto"/>
          <w:highlight w:val="none"/>
          <w:lang w:val="en-US" w:eastAsia="zh-CN"/>
        </w:rPr>
        <w:t>年增长</w:t>
      </w:r>
      <w:r>
        <w:rPr>
          <w:rFonts w:hint="eastAsia"/>
          <w:b w:val="0"/>
          <w:bCs w:val="0"/>
          <w:color w:val="auto"/>
          <w:highlight w:val="none"/>
          <w:lang w:val="en-US" w:eastAsia="zh-CN"/>
        </w:rPr>
        <w:t>22.1</w:t>
      </w:r>
      <w:r>
        <w:rPr>
          <w:rFonts w:hint="default"/>
          <w:b w:val="0"/>
          <w:bCs w:val="0"/>
          <w:color w:val="auto"/>
          <w:highlight w:val="none"/>
          <w:lang w:val="en-US" w:eastAsia="zh-CN"/>
        </w:rPr>
        <w:t>%，2024年</w:t>
      </w:r>
      <w:r>
        <w:rPr>
          <w:rFonts w:hint="eastAsia"/>
          <w:b w:val="0"/>
          <w:bCs w:val="0"/>
          <w:color w:val="auto"/>
          <w:highlight w:val="none"/>
          <w:lang w:val="en-US" w:eastAsia="zh-CN"/>
        </w:rPr>
        <w:t>营收</w:t>
      </w:r>
      <w:r>
        <w:rPr>
          <w:rFonts w:hint="default"/>
          <w:b w:val="0"/>
          <w:bCs w:val="0"/>
          <w:color w:val="auto"/>
          <w:highlight w:val="none"/>
          <w:lang w:val="en-US" w:eastAsia="zh-CN"/>
        </w:rPr>
        <w:t>总额较</w:t>
      </w:r>
      <w:r>
        <w:rPr>
          <w:rFonts w:hint="eastAsia"/>
          <w:b w:val="0"/>
          <w:bCs w:val="0"/>
          <w:color w:val="auto"/>
          <w:highlight w:val="none"/>
          <w:lang w:val="en-US" w:eastAsia="zh-CN"/>
        </w:rPr>
        <w:t>2023</w:t>
      </w:r>
      <w:r>
        <w:rPr>
          <w:rFonts w:hint="default"/>
          <w:b w:val="0"/>
          <w:bCs w:val="0"/>
          <w:color w:val="auto"/>
          <w:highlight w:val="none"/>
          <w:lang w:val="en-US" w:eastAsia="zh-CN"/>
        </w:rPr>
        <w:t>年增长8</w:t>
      </w:r>
      <w:r>
        <w:rPr>
          <w:rFonts w:hint="eastAsia"/>
          <w:b w:val="0"/>
          <w:bCs w:val="0"/>
          <w:color w:val="auto"/>
          <w:highlight w:val="none"/>
          <w:lang w:val="en-US" w:eastAsia="zh-CN"/>
        </w:rPr>
        <w:t>1.03</w:t>
      </w:r>
      <w:r>
        <w:rPr>
          <w:rFonts w:hint="default"/>
          <w:b w:val="0"/>
          <w:bCs w:val="0"/>
          <w:color w:val="auto"/>
          <w:highlight w:val="none"/>
          <w:lang w:val="en-US" w:eastAsia="zh-CN"/>
        </w:rPr>
        <w:t>%；5家服务企业2023年纳税总额较</w:t>
      </w:r>
      <w:r>
        <w:rPr>
          <w:rFonts w:hint="eastAsia"/>
          <w:b w:val="0"/>
          <w:bCs w:val="0"/>
          <w:color w:val="auto"/>
          <w:highlight w:val="none"/>
          <w:lang w:val="en-US" w:eastAsia="zh-CN"/>
        </w:rPr>
        <w:t>2022</w:t>
      </w:r>
      <w:r>
        <w:rPr>
          <w:rFonts w:hint="default"/>
          <w:b w:val="0"/>
          <w:bCs w:val="0"/>
          <w:color w:val="auto"/>
          <w:highlight w:val="none"/>
          <w:lang w:val="en-US" w:eastAsia="zh-CN"/>
        </w:rPr>
        <w:t>年增长7.1%，2024年纳税总额较</w:t>
      </w:r>
      <w:r>
        <w:rPr>
          <w:rFonts w:hint="eastAsia"/>
          <w:b w:val="0"/>
          <w:bCs w:val="0"/>
          <w:color w:val="auto"/>
          <w:highlight w:val="none"/>
          <w:lang w:val="en-US" w:eastAsia="zh-CN"/>
        </w:rPr>
        <w:t>2023</w:t>
      </w:r>
      <w:r>
        <w:rPr>
          <w:rFonts w:hint="default"/>
          <w:b w:val="0"/>
          <w:bCs w:val="0"/>
          <w:color w:val="auto"/>
          <w:highlight w:val="none"/>
          <w:lang w:val="en-US" w:eastAsia="zh-CN"/>
        </w:rPr>
        <w:t>年降低41.34%，未能实现逐年递增趋势，具体数值如表6所示。</w:t>
      </w:r>
    </w:p>
    <w:p>
      <w:pPr>
        <w:pStyle w:val="6"/>
        <w:rPr>
          <w:rFonts w:hint="eastAsia"/>
          <w:highlight w:val="none"/>
          <w:lang w:eastAsia="zh-CN"/>
        </w:rPr>
      </w:pPr>
      <w:r>
        <w:rPr>
          <w:highlight w:val="none"/>
        </w:rPr>
        <w:t xml:space="preserve">表 </w:t>
      </w:r>
      <w:r>
        <w:rPr>
          <w:highlight w:val="none"/>
        </w:rPr>
        <w:fldChar w:fldCharType="begin"/>
      </w:r>
      <w:r>
        <w:rPr>
          <w:highlight w:val="none"/>
        </w:rPr>
        <w:instrText xml:space="preserve"> SEQ 表 \* ARABIC </w:instrText>
      </w:r>
      <w:r>
        <w:rPr>
          <w:highlight w:val="none"/>
        </w:rPr>
        <w:fldChar w:fldCharType="separate"/>
      </w:r>
      <w:r>
        <w:rPr>
          <w:highlight w:val="none"/>
        </w:rPr>
        <w:t>6</w:t>
      </w:r>
      <w:r>
        <w:rPr>
          <w:highlight w:val="none"/>
        </w:rPr>
        <w:fldChar w:fldCharType="end"/>
      </w:r>
      <w:r>
        <w:rPr>
          <w:rFonts w:hint="eastAsia"/>
          <w:highlight w:val="none"/>
          <w:lang w:eastAsia="zh-CN"/>
        </w:rPr>
        <w:t xml:space="preserve"> 5家服务企业</w:t>
      </w:r>
      <w:r>
        <w:rPr>
          <w:rFonts w:hint="eastAsia"/>
          <w:highlight w:val="none"/>
          <w:lang w:val="en-US" w:eastAsia="zh-CN"/>
        </w:rPr>
        <w:t>营收</w:t>
      </w:r>
      <w:r>
        <w:rPr>
          <w:rFonts w:hint="eastAsia"/>
          <w:highlight w:val="none"/>
          <w:lang w:eastAsia="zh-CN"/>
        </w:rPr>
        <w:t>、纳税统计表</w:t>
      </w:r>
    </w:p>
    <w:p>
      <w:pPr>
        <w:keepNext/>
        <w:keepLines w:val="0"/>
        <w:pageBreakBefore w:val="0"/>
        <w:widowControl w:val="0"/>
        <w:kinsoku/>
        <w:wordWrap/>
        <w:overflowPunct/>
        <w:topLinePunct w:val="0"/>
        <w:autoSpaceDE/>
        <w:autoSpaceDN/>
        <w:bidi w:val="0"/>
        <w:adjustRightInd/>
        <w:spacing w:line="240" w:lineRule="auto"/>
        <w:ind w:firstLine="0" w:firstLineChars="0"/>
        <w:jc w:val="right"/>
        <w:textAlignment w:val="auto"/>
        <w:rPr>
          <w:rFonts w:hint="eastAsia"/>
          <w:highlight w:val="none"/>
          <w:lang w:eastAsia="zh-CN"/>
        </w:rPr>
      </w:pPr>
      <w:r>
        <w:rPr>
          <w:rFonts w:hint="eastAsia" w:ascii="宋体" w:hAnsi="宋体" w:eastAsia="宋体" w:cs="宋体"/>
          <w:b w:val="0"/>
          <w:bCs w:val="0"/>
          <w:color w:val="auto"/>
          <w:sz w:val="21"/>
          <w:szCs w:val="21"/>
          <w:highlight w:val="none"/>
          <w:lang w:val="en-US" w:eastAsia="zh-CN"/>
        </w:rPr>
        <w:t>单位：万元</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4"/>
        <w:gridCol w:w="3007"/>
        <w:gridCol w:w="3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151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年度</w:t>
            </w:r>
          </w:p>
        </w:tc>
        <w:tc>
          <w:tcPr>
            <w:tcW w:w="1724"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营收总额</w:t>
            </w:r>
          </w:p>
        </w:tc>
        <w:tc>
          <w:tcPr>
            <w:tcW w:w="175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纳税总额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1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trike w:val="0"/>
                <w:color w:val="auto"/>
                <w:sz w:val="24"/>
                <w:szCs w:val="24"/>
                <w:highlight w:val="none"/>
                <w:vertAlign w:val="baseline"/>
                <w:lang w:val="en-US" w:eastAsia="zh-CN"/>
              </w:rPr>
            </w:pPr>
            <w:r>
              <w:rPr>
                <w:rFonts w:hint="eastAsia" w:ascii="宋体" w:hAnsi="宋体" w:eastAsia="宋体" w:cs="宋体"/>
                <w:b/>
                <w:bCs/>
                <w:strike w:val="0"/>
                <w:color w:val="auto"/>
                <w:sz w:val="24"/>
                <w:szCs w:val="24"/>
                <w:highlight w:val="none"/>
                <w:vertAlign w:val="baseline"/>
                <w:lang w:val="en-US" w:eastAsia="zh-CN"/>
              </w:rPr>
              <w:t>2022年</w:t>
            </w:r>
          </w:p>
        </w:tc>
        <w:tc>
          <w:tcPr>
            <w:tcW w:w="17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strike w:val="0"/>
                <w:color w:val="auto"/>
                <w:sz w:val="24"/>
                <w:szCs w:val="24"/>
                <w:highlight w:val="none"/>
                <w:vertAlign w:val="baseline"/>
                <w:lang w:val="en-US" w:eastAsia="zh-CN"/>
              </w:rPr>
            </w:pPr>
            <w:r>
              <w:rPr>
                <w:rFonts w:hint="default" w:ascii="宋体" w:hAnsi="宋体" w:eastAsia="宋体" w:cs="宋体"/>
                <w:strike w:val="0"/>
                <w:color w:val="auto"/>
                <w:sz w:val="24"/>
                <w:szCs w:val="24"/>
                <w:highlight w:val="none"/>
                <w:vertAlign w:val="baseline"/>
                <w:lang w:val="en-US" w:eastAsia="zh-CN"/>
              </w:rPr>
              <w:t>158585.9</w:t>
            </w:r>
            <w:r>
              <w:rPr>
                <w:rFonts w:hint="eastAsia" w:ascii="宋体" w:hAnsi="宋体" w:eastAsia="宋体" w:cs="宋体"/>
                <w:strike w:val="0"/>
                <w:color w:val="auto"/>
                <w:sz w:val="24"/>
                <w:szCs w:val="24"/>
                <w:highlight w:val="none"/>
                <w:vertAlign w:val="baseline"/>
                <w:lang w:val="en-US" w:eastAsia="zh-CN"/>
              </w:rPr>
              <w:t>8</w:t>
            </w:r>
          </w:p>
        </w:tc>
        <w:tc>
          <w:tcPr>
            <w:tcW w:w="175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strike w:val="0"/>
                <w:color w:val="auto"/>
                <w:sz w:val="24"/>
                <w:szCs w:val="24"/>
                <w:highlight w:val="none"/>
                <w:vertAlign w:val="baseline"/>
                <w:lang w:val="en-US" w:eastAsia="zh-CN"/>
              </w:rPr>
            </w:pPr>
            <w:r>
              <w:rPr>
                <w:rFonts w:hint="eastAsia" w:ascii="宋体" w:hAnsi="宋体" w:eastAsia="宋体" w:cs="宋体"/>
                <w:strike w:val="0"/>
                <w:color w:val="auto"/>
                <w:sz w:val="24"/>
                <w:szCs w:val="24"/>
                <w:highlight w:val="none"/>
                <w:vertAlign w:val="baseline"/>
                <w:lang w:val="en-US" w:eastAsia="zh-CN"/>
              </w:rPr>
              <w:t>5682.18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1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highlight w:val="none"/>
                <w:vertAlign w:val="baseline"/>
                <w:lang w:val="en-US" w:eastAsia="zh-CN"/>
              </w:rPr>
              <w:t>2023年</w:t>
            </w:r>
          </w:p>
        </w:tc>
        <w:tc>
          <w:tcPr>
            <w:tcW w:w="17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193634.63</w:t>
            </w:r>
          </w:p>
        </w:tc>
        <w:tc>
          <w:tcPr>
            <w:tcW w:w="175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6085.6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1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highlight w:val="none"/>
                <w:vertAlign w:val="baseline"/>
                <w:lang w:val="en-US" w:eastAsia="zh-CN"/>
              </w:rPr>
              <w:t>2024年</w:t>
            </w:r>
          </w:p>
        </w:tc>
        <w:tc>
          <w:tcPr>
            <w:tcW w:w="17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350528.73</w:t>
            </w:r>
          </w:p>
        </w:tc>
        <w:tc>
          <w:tcPr>
            <w:tcW w:w="175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3570.1</w:t>
            </w:r>
          </w:p>
        </w:tc>
      </w:tr>
    </w:tbl>
    <w:p>
      <w:pPr>
        <w:pStyle w:val="2"/>
        <w:bidi w:val="0"/>
        <w:rPr>
          <w:rFonts w:hint="eastAsia"/>
          <w:color w:val="auto"/>
          <w:highlight w:val="none"/>
        </w:rPr>
      </w:pPr>
      <w:bookmarkStart w:id="75" w:name="_Toc12632"/>
      <w:bookmarkStart w:id="76" w:name="_Toc9646"/>
      <w:bookmarkStart w:id="77" w:name="_Toc5119"/>
      <w:bookmarkStart w:id="78" w:name="_Toc641"/>
      <w:bookmarkStart w:id="79" w:name="_Toc25049"/>
      <w:r>
        <w:rPr>
          <w:rFonts w:hint="eastAsia"/>
          <w:color w:val="auto"/>
          <w:highlight w:val="none"/>
        </w:rPr>
        <w:t>四、</w:t>
      </w:r>
      <w:r>
        <w:rPr>
          <w:rFonts w:hint="eastAsia"/>
          <w:color w:val="auto"/>
          <w:highlight w:val="none"/>
          <w:lang w:eastAsia="zh-CN"/>
        </w:rPr>
        <w:t>政策</w:t>
      </w:r>
      <w:r>
        <w:rPr>
          <w:rFonts w:hint="eastAsia"/>
          <w:color w:val="auto"/>
          <w:highlight w:val="none"/>
        </w:rPr>
        <w:t>实施成效</w:t>
      </w:r>
      <w:bookmarkEnd w:id="75"/>
      <w:bookmarkEnd w:id="76"/>
      <w:bookmarkEnd w:id="77"/>
      <w:bookmarkEnd w:id="78"/>
      <w:bookmarkEnd w:id="79"/>
    </w:p>
    <w:p>
      <w:pPr>
        <w:rPr>
          <w:rFonts w:hint="eastAsia"/>
          <w:highlight w:val="none"/>
          <w:lang w:val="en-US" w:eastAsia="zh-CN"/>
        </w:rPr>
      </w:pPr>
      <w:bookmarkStart w:id="80" w:name="_Toc10546"/>
      <w:bookmarkStart w:id="81" w:name="_Toc3247"/>
      <w:bookmarkStart w:id="82" w:name="_Toc11007"/>
      <w:bookmarkStart w:id="83" w:name="_Toc10270"/>
      <w:bookmarkStart w:id="84" w:name="_Toc29928"/>
      <w:r>
        <w:rPr>
          <w:rFonts w:hint="eastAsia"/>
          <w:highlight w:val="none"/>
          <w:lang w:val="en-US" w:eastAsia="zh-CN"/>
        </w:rPr>
        <w:t>政策实施期间，市工业和信息化局积极响应国家关于集成电路产业自主创新的战略导向，将资源重点投向产业链关键环节。在产出效益方面，对9家经审核达标的企业实施奖励措施，共计推动采购电子设计自动化（EDA）工具软件2套、硅知识产权（IP）核2项、工程批流片服务（MPW）2批次，支持采购国产化自主研发芯片产品2款。第三方公共服务平台的服务覆盖面持续拓展，全年服务企业20家，企业知识产权创造活力显著提升，全年新增集成电路布图设计登记证书77项，受奖励企业满意度达到97.09%，远超年度设定目标。在产业链规模发展方面，全市集成电路产业呈现增长势头，2022年，产业规模实现60亿元，如期完成50亿元的年度目标任务。2023年，产业规模首次突破百亿大关，至2024年，产业规模更跃升至200亿元，成功完成150亿元的全年发展目标，并超出该目标值33.3个百分点。总体上看，全市集成电路产业各年度既定目标任务均取得了突破性进展，为后续发展奠定了坚实基础，同时构建了涵盖设计、制造、封测等全环节的全产业链体系。</w:t>
      </w:r>
    </w:p>
    <w:p>
      <w:pPr>
        <w:pStyle w:val="2"/>
        <w:numPr>
          <w:ilvl w:val="0"/>
          <w:numId w:val="0"/>
        </w:numPr>
        <w:bidi w:val="0"/>
        <w:ind w:firstLine="640" w:firstLineChars="200"/>
        <w:rPr>
          <w:rFonts w:hint="eastAsia"/>
          <w:color w:val="auto"/>
          <w:highlight w:val="none"/>
        </w:rPr>
      </w:pPr>
      <w:r>
        <w:rPr>
          <w:rFonts w:hint="eastAsia" w:ascii="黑体" w:hAnsi="黑体" w:eastAsia="黑体" w:cstheme="minorBidi"/>
          <w:b w:val="0"/>
          <w:color w:val="auto"/>
          <w:kern w:val="44"/>
          <w:szCs w:val="24"/>
          <w:highlight w:val="none"/>
          <w:lang w:val="en-US" w:eastAsia="zh-CN" w:bidi="ar-SA"/>
        </w:rPr>
        <w:t>五、</w:t>
      </w:r>
      <w:r>
        <w:rPr>
          <w:rFonts w:hint="eastAsia"/>
          <w:color w:val="auto"/>
          <w:highlight w:val="none"/>
        </w:rPr>
        <w:t>发现的问题及原因分析</w:t>
      </w:r>
      <w:bookmarkEnd w:id="80"/>
      <w:bookmarkEnd w:id="81"/>
      <w:bookmarkEnd w:id="82"/>
      <w:bookmarkEnd w:id="83"/>
      <w:bookmarkEnd w:id="84"/>
    </w:p>
    <w:p>
      <w:pPr>
        <w:pStyle w:val="3"/>
        <w:rPr>
          <w:rFonts w:hint="default" w:eastAsia="楷体_GB2312"/>
          <w:color w:val="auto"/>
          <w:highlight w:val="none"/>
          <w:lang w:val="en-US" w:eastAsia="zh-CN"/>
        </w:rPr>
      </w:pPr>
      <w:bookmarkStart w:id="85" w:name="_Toc5571"/>
      <w:bookmarkStart w:id="86" w:name="_Toc30190"/>
      <w:bookmarkStart w:id="87" w:name="_Toc11740"/>
      <w:bookmarkStart w:id="88" w:name="_Toc3269"/>
      <w:bookmarkStart w:id="89" w:name="_Toc18187"/>
      <w:r>
        <w:rPr>
          <w:rFonts w:hint="eastAsia"/>
          <w:color w:val="auto"/>
          <w:highlight w:val="none"/>
          <w:lang w:eastAsia="zh-CN"/>
        </w:rPr>
        <w:t>（</w:t>
      </w:r>
      <w:r>
        <w:rPr>
          <w:rFonts w:hint="eastAsia"/>
          <w:color w:val="auto"/>
          <w:highlight w:val="none"/>
          <w:lang w:val="en-US" w:eastAsia="zh-CN"/>
        </w:rPr>
        <w:t>一</w:t>
      </w:r>
      <w:r>
        <w:rPr>
          <w:rFonts w:hint="eastAsia"/>
          <w:color w:val="auto"/>
          <w:highlight w:val="none"/>
          <w:lang w:eastAsia="zh-CN"/>
        </w:rPr>
        <w:t>）政策</w:t>
      </w:r>
      <w:bookmarkEnd w:id="85"/>
      <w:bookmarkEnd w:id="86"/>
      <w:bookmarkEnd w:id="87"/>
      <w:r>
        <w:rPr>
          <w:rFonts w:hint="eastAsia"/>
          <w:color w:val="auto"/>
          <w:highlight w:val="none"/>
          <w:lang w:val="en-US" w:eastAsia="zh-CN"/>
        </w:rPr>
        <w:t>条款需进一步调整优化</w:t>
      </w:r>
      <w:bookmarkEnd w:id="88"/>
      <w:bookmarkEnd w:id="89"/>
    </w:p>
    <w:p>
      <w:pPr>
        <w:bidi w:val="0"/>
        <w:ind w:firstLine="640" w:firstLineChars="200"/>
        <w:rPr>
          <w:rFonts w:hint="eastAsia"/>
          <w:color w:val="auto"/>
          <w:highlight w:val="none"/>
        </w:rPr>
      </w:pPr>
      <w:r>
        <w:rPr>
          <w:rFonts w:hint="eastAsia"/>
          <w:color w:val="auto"/>
          <w:highlight w:val="none"/>
        </w:rPr>
        <w:t>部分</w:t>
      </w:r>
      <w:r>
        <w:rPr>
          <w:rFonts w:hint="eastAsia"/>
          <w:color w:val="auto"/>
          <w:highlight w:val="none"/>
          <w:lang w:val="en-US" w:eastAsia="zh-CN"/>
        </w:rPr>
        <w:t>条款与国家规范招商引资行为有关要求不符</w:t>
      </w:r>
      <w:r>
        <w:rPr>
          <w:rFonts w:hint="default"/>
          <w:color w:val="auto"/>
          <w:highlight w:val="none"/>
          <w:lang w:val="en-US" w:eastAsia="zh-CN"/>
        </w:rPr>
        <w:t>。</w:t>
      </w:r>
      <w:r>
        <w:rPr>
          <w:rFonts w:hint="eastAsia"/>
          <w:b/>
          <w:bCs/>
          <w:color w:val="auto"/>
          <w:highlight w:val="none"/>
          <w:lang w:val="en-US" w:eastAsia="zh-CN"/>
        </w:rPr>
        <w:t>一方面，</w:t>
      </w:r>
      <w:r>
        <w:rPr>
          <w:rFonts w:hint="eastAsia" w:cs="Times New Roman" w:hAnsiTheme="minorHAnsi"/>
          <w:b w:val="0"/>
          <w:bCs w:val="0"/>
          <w:color w:val="auto"/>
          <w:kern w:val="2"/>
          <w:sz w:val="32"/>
          <w:szCs w:val="22"/>
          <w:highlight w:val="none"/>
          <w:lang w:val="en-US" w:eastAsia="zh-CN" w:bidi="ar-SA"/>
        </w:rPr>
        <w:t>《实施细则》</w:t>
      </w:r>
      <w:r>
        <w:rPr>
          <w:rFonts w:hint="eastAsia"/>
          <w:color w:val="auto"/>
          <w:highlight w:val="none"/>
          <w:lang w:val="en-US" w:eastAsia="zh-CN"/>
        </w:rPr>
        <w:t>中，</w:t>
      </w:r>
      <w:r>
        <w:rPr>
          <w:rFonts w:hint="default"/>
          <w:color w:val="auto"/>
          <w:highlight w:val="none"/>
        </w:rPr>
        <w:t>自主设计芯片奖补</w:t>
      </w:r>
      <w:r>
        <w:rPr>
          <w:rFonts w:hint="eastAsia"/>
          <w:color w:val="auto"/>
          <w:highlight w:val="none"/>
          <w:lang w:eastAsia="zh-CN"/>
        </w:rPr>
        <w:t>、</w:t>
      </w:r>
      <w:r>
        <w:rPr>
          <w:rFonts w:hint="default"/>
          <w:color w:val="auto"/>
          <w:highlight w:val="none"/>
        </w:rPr>
        <w:t>自主关键设备和材料奖补</w:t>
      </w:r>
      <w:r>
        <w:rPr>
          <w:rFonts w:hint="eastAsia"/>
          <w:color w:val="auto"/>
          <w:highlight w:val="none"/>
          <w:lang w:eastAsia="zh-CN"/>
        </w:rPr>
        <w:t>、</w:t>
      </w:r>
      <w:r>
        <w:rPr>
          <w:rFonts w:hint="default"/>
          <w:color w:val="auto"/>
          <w:highlight w:val="none"/>
        </w:rPr>
        <w:t>上规模奖励</w:t>
      </w:r>
      <w:r>
        <w:rPr>
          <w:rFonts w:hint="eastAsia"/>
          <w:color w:val="auto"/>
          <w:highlight w:val="none"/>
          <w:lang w:val="en-US" w:eastAsia="zh-CN"/>
        </w:rPr>
        <w:t>补助措施等3项政策条款，</w:t>
      </w:r>
      <w:r>
        <w:rPr>
          <w:rFonts w:hint="default"/>
          <w:color w:val="auto"/>
          <w:highlight w:val="none"/>
        </w:rPr>
        <w:t>将“</w:t>
      </w:r>
      <w:r>
        <w:rPr>
          <w:rFonts w:hint="eastAsia"/>
          <w:color w:val="auto"/>
          <w:highlight w:val="none"/>
          <w:lang w:val="en-US" w:eastAsia="zh-CN"/>
        </w:rPr>
        <w:t>销售额</w:t>
      </w:r>
      <w:r>
        <w:rPr>
          <w:rFonts w:hint="default"/>
          <w:color w:val="auto"/>
          <w:highlight w:val="none"/>
        </w:rPr>
        <w:t>”作为核心</w:t>
      </w:r>
      <w:r>
        <w:rPr>
          <w:rFonts w:hint="eastAsia"/>
          <w:color w:val="auto"/>
          <w:highlight w:val="none"/>
          <w:lang w:val="en-US" w:eastAsia="zh-CN"/>
        </w:rPr>
        <w:t>认定条件</w:t>
      </w:r>
      <w:r>
        <w:rPr>
          <w:rFonts w:hint="default"/>
          <w:color w:val="auto"/>
          <w:highlight w:val="none"/>
        </w:rPr>
        <w:t>或前置准入条件，</w:t>
      </w:r>
      <w:r>
        <w:rPr>
          <w:rFonts w:hint="eastAsia"/>
          <w:color w:val="auto"/>
          <w:highlight w:val="none"/>
          <w:lang w:val="en-US" w:eastAsia="zh-CN"/>
        </w:rPr>
        <w:t>与国务院办公厅《关于规范招商引资行为促进招商引资高质量发展若干措施的通知》、国家发展改革委《关于规范招商引资行为促进招商引资高质量发展的工作方案》等文件关于规范招商引资行为的要求存在偏差，政策存在风险点。</w:t>
      </w:r>
      <w:r>
        <w:rPr>
          <w:rFonts w:hint="eastAsia"/>
          <w:b/>
          <w:bCs/>
          <w:color w:val="auto"/>
          <w:highlight w:val="none"/>
          <w:lang w:val="en-US" w:eastAsia="zh-CN"/>
        </w:rPr>
        <w:t>另一方面</w:t>
      </w:r>
      <w:r>
        <w:rPr>
          <w:rFonts w:hint="eastAsia"/>
          <w:color w:val="auto"/>
          <w:highlight w:val="none"/>
          <w:lang w:val="en-US" w:eastAsia="zh-CN"/>
        </w:rPr>
        <w:t>，</w:t>
      </w:r>
      <w:r>
        <w:rPr>
          <w:rFonts w:hint="default"/>
          <w:color w:val="auto"/>
          <w:highlight w:val="none"/>
        </w:rPr>
        <w:t>集成电路产业具有迭代快速、前期投入大、回报周期长等特点</w:t>
      </w:r>
      <w:r>
        <w:rPr>
          <w:rFonts w:hint="eastAsia"/>
          <w:color w:val="auto"/>
          <w:highlight w:val="none"/>
          <w:lang w:eastAsia="zh-CN"/>
        </w:rPr>
        <w:t>，</w:t>
      </w:r>
      <w:r>
        <w:rPr>
          <w:rFonts w:hint="eastAsia"/>
          <w:color w:val="auto"/>
          <w:highlight w:val="none"/>
          <w:lang w:val="en-US" w:eastAsia="zh-CN"/>
        </w:rPr>
        <w:t>上述3项政策条款片面地强调销售额</w:t>
      </w:r>
      <w:r>
        <w:rPr>
          <w:rFonts w:hint="default"/>
          <w:color w:val="auto"/>
          <w:highlight w:val="none"/>
        </w:rPr>
        <w:t>指标，</w:t>
      </w:r>
      <w:r>
        <w:rPr>
          <w:rFonts w:hint="eastAsia"/>
          <w:color w:val="auto"/>
          <w:highlight w:val="none"/>
          <w:lang w:val="en-US" w:eastAsia="zh-CN"/>
        </w:rPr>
        <w:t>易</w:t>
      </w:r>
      <w:r>
        <w:rPr>
          <w:rFonts w:hint="default"/>
          <w:color w:val="auto"/>
          <w:highlight w:val="none"/>
        </w:rPr>
        <w:t>导致政策资源过度向已具备规模优势的企业倾斜，</w:t>
      </w:r>
      <w:r>
        <w:rPr>
          <w:rFonts w:hint="eastAsia"/>
          <w:color w:val="auto"/>
          <w:highlight w:val="none"/>
          <w:lang w:val="en-US" w:eastAsia="zh-CN"/>
        </w:rPr>
        <w:t>影响政策实施的公平性</w:t>
      </w:r>
      <w:r>
        <w:rPr>
          <w:rFonts w:hint="eastAsia"/>
          <w:color w:val="auto"/>
          <w:highlight w:val="none"/>
        </w:rPr>
        <w:t>。</w:t>
      </w:r>
    </w:p>
    <w:p>
      <w:pPr>
        <w:pStyle w:val="3"/>
        <w:bidi w:val="0"/>
        <w:rPr>
          <w:rFonts w:hint="default"/>
          <w:color w:val="auto"/>
          <w:highlight w:val="none"/>
          <w:lang w:val="en-US" w:eastAsia="zh-CN"/>
        </w:rPr>
      </w:pPr>
      <w:bookmarkStart w:id="90" w:name="_Toc26152"/>
      <w:bookmarkStart w:id="91" w:name="_Toc29317"/>
      <w:bookmarkStart w:id="92" w:name="_Toc21829"/>
      <w:bookmarkStart w:id="93" w:name="_Toc7015"/>
      <w:bookmarkStart w:id="94" w:name="_Toc22444"/>
      <w:r>
        <w:rPr>
          <w:rFonts w:hint="eastAsia"/>
          <w:color w:val="auto"/>
          <w:highlight w:val="none"/>
          <w:lang w:eastAsia="zh-CN"/>
        </w:rPr>
        <w:t>（</w:t>
      </w:r>
      <w:r>
        <w:rPr>
          <w:rFonts w:hint="eastAsia"/>
          <w:color w:val="auto"/>
          <w:highlight w:val="none"/>
          <w:lang w:val="en-US" w:eastAsia="zh-CN"/>
        </w:rPr>
        <w:t>二</w:t>
      </w:r>
      <w:r>
        <w:rPr>
          <w:rFonts w:hint="eastAsia"/>
          <w:color w:val="auto"/>
          <w:highlight w:val="none"/>
          <w:lang w:eastAsia="zh-CN"/>
        </w:rPr>
        <w:t>）</w:t>
      </w:r>
      <w:r>
        <w:rPr>
          <w:rFonts w:hint="eastAsia"/>
          <w:b w:val="0"/>
          <w:bCs w:val="0"/>
          <w:highlight w:val="none"/>
          <w:lang w:val="en-US" w:eastAsia="zh-CN"/>
        </w:rPr>
        <w:t>政策实施效益不够显著</w:t>
      </w:r>
      <w:bookmarkEnd w:id="90"/>
      <w:bookmarkEnd w:id="91"/>
      <w:bookmarkEnd w:id="92"/>
      <w:bookmarkEnd w:id="93"/>
      <w:bookmarkEnd w:id="94"/>
    </w:p>
    <w:p>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eastAsia"/>
          <w:color w:val="auto"/>
          <w:highlight w:val="none"/>
          <w:lang w:val="en-US" w:eastAsia="zh-CN"/>
        </w:rPr>
      </w:pPr>
      <w:r>
        <w:rPr>
          <w:rFonts w:hint="eastAsia"/>
          <w:b/>
          <w:bCs/>
          <w:highlight w:val="none"/>
          <w:lang w:val="en-US" w:eastAsia="zh-CN"/>
        </w:rPr>
        <w:t>一是</w:t>
      </w:r>
      <w:r>
        <w:rPr>
          <w:rFonts w:hint="eastAsia"/>
          <w:b w:val="0"/>
          <w:bCs w:val="0"/>
          <w:highlight w:val="none"/>
          <w:lang w:val="en-US" w:eastAsia="zh-CN"/>
        </w:rPr>
        <w:t>全市集成电路企业经营表现未获得正向拉动。</w:t>
      </w:r>
      <w:r>
        <w:rPr>
          <w:rFonts w:hint="eastAsia" w:cs="Times New Roman" w:hAnsiTheme="minorHAnsi"/>
          <w:b w:val="0"/>
          <w:bCs w:val="0"/>
          <w:color w:val="auto"/>
          <w:kern w:val="2"/>
          <w:sz w:val="32"/>
          <w:szCs w:val="22"/>
          <w:highlight w:val="none"/>
          <w:lang w:val="en-US" w:eastAsia="zh-CN" w:bidi="ar-SA"/>
        </w:rPr>
        <w:t>《实施细则》</w:t>
      </w:r>
      <w:r>
        <w:rPr>
          <w:rFonts w:hint="eastAsia"/>
          <w:b w:val="0"/>
          <w:bCs w:val="0"/>
          <w:highlight w:val="none"/>
          <w:lang w:val="en-US" w:eastAsia="zh-CN"/>
        </w:rPr>
        <w:t>制定的主要目的是促进青岛集成电路产业高质量发展，基于此，评价组对19家申报企业的发展情况进行综合分析，</w:t>
      </w:r>
      <w:r>
        <w:rPr>
          <w:rFonts w:hint="eastAsia"/>
          <w:color w:val="auto"/>
          <w:highlight w:val="none"/>
          <w:lang w:val="en-US" w:eastAsia="zh-CN"/>
        </w:rPr>
        <w:t>具体数值如表7所示</w:t>
      </w:r>
      <w:r>
        <w:rPr>
          <w:rFonts w:hint="eastAsia"/>
          <w:b w:val="0"/>
          <w:bCs w:val="0"/>
          <w:highlight w:val="none"/>
          <w:lang w:val="en-US" w:eastAsia="zh-CN"/>
        </w:rPr>
        <w:t>。从全市申报奖补资金的企业来看，</w:t>
      </w:r>
      <w:r>
        <w:rPr>
          <w:rFonts w:hint="eastAsia"/>
          <w:highlight w:val="none"/>
          <w:lang w:eastAsia="zh-CN"/>
        </w:rPr>
        <w:t>2022年至2024年</w:t>
      </w:r>
      <w:r>
        <w:rPr>
          <w:rFonts w:hint="eastAsia"/>
          <w:highlight w:val="none"/>
          <w:lang w:val="en-US" w:eastAsia="zh-CN"/>
        </w:rPr>
        <w:t>期间</w:t>
      </w:r>
      <w:r>
        <w:rPr>
          <w:rFonts w:hint="eastAsia"/>
          <w:highlight w:val="none"/>
          <w:lang w:eastAsia="zh-CN"/>
        </w:rPr>
        <w:t>，</w:t>
      </w:r>
      <w:r>
        <w:rPr>
          <w:rFonts w:hint="eastAsia"/>
          <w:highlight w:val="none"/>
          <w:lang w:val="en-US" w:eastAsia="zh-CN"/>
        </w:rPr>
        <w:t>19家</w:t>
      </w:r>
      <w:r>
        <w:rPr>
          <w:rFonts w:hint="eastAsia"/>
          <w:highlight w:val="none"/>
          <w:lang w:eastAsia="zh-CN"/>
        </w:rPr>
        <w:t>集成电路企业</w:t>
      </w:r>
      <w:r>
        <w:rPr>
          <w:rFonts w:hint="eastAsia"/>
          <w:highlight w:val="none"/>
          <w:lang w:val="en-US" w:eastAsia="zh-CN"/>
        </w:rPr>
        <w:t>的</w:t>
      </w:r>
      <w:r>
        <w:rPr>
          <w:rFonts w:hint="eastAsia"/>
          <w:highlight w:val="none"/>
          <w:lang w:eastAsia="zh-CN"/>
        </w:rPr>
        <w:t>总纳税总额</w:t>
      </w:r>
      <w:r>
        <w:rPr>
          <w:rFonts w:hint="eastAsia"/>
          <w:highlight w:val="none"/>
          <w:lang w:val="en-US" w:eastAsia="zh-CN"/>
        </w:rPr>
        <w:t>存在明显波动，2023年较2022年降低3.93%，</w:t>
      </w:r>
      <w:r>
        <w:rPr>
          <w:rFonts w:hint="eastAsia"/>
          <w:highlight w:val="none"/>
          <w:lang w:eastAsia="zh-CN"/>
        </w:rPr>
        <w:t>2024年较2023年降幅</w:t>
      </w:r>
      <w:r>
        <w:rPr>
          <w:rFonts w:hint="eastAsia"/>
          <w:highlight w:val="none"/>
          <w:lang w:val="en-US" w:eastAsia="zh-CN"/>
        </w:rPr>
        <w:t>达12.23</w:t>
      </w:r>
      <w:r>
        <w:rPr>
          <w:rFonts w:hint="eastAsia"/>
          <w:highlight w:val="none"/>
          <w:lang w:eastAsia="zh-CN"/>
        </w:rPr>
        <w:t>%。</w:t>
      </w:r>
      <w:r>
        <w:rPr>
          <w:rFonts w:hint="eastAsia"/>
          <w:highlight w:val="none"/>
          <w:lang w:val="en-US" w:eastAsia="zh-CN"/>
        </w:rPr>
        <w:t>从实际受奖补企业来看，9家企业总纳税总</w:t>
      </w:r>
      <w:r>
        <w:rPr>
          <w:rFonts w:hint="eastAsia"/>
          <w:color w:val="auto"/>
          <w:highlight w:val="none"/>
          <w:lang w:val="en-US" w:eastAsia="zh-CN"/>
        </w:rPr>
        <w:t>额</w:t>
      </w:r>
      <w:r>
        <w:rPr>
          <w:rFonts w:hint="eastAsia"/>
          <w:color w:val="auto"/>
          <w:highlight w:val="none"/>
          <w:lang w:eastAsia="zh-CN"/>
        </w:rPr>
        <w:t>先升后降</w:t>
      </w:r>
      <w:r>
        <w:rPr>
          <w:rFonts w:hint="eastAsia"/>
          <w:color w:val="auto"/>
          <w:highlight w:val="none"/>
          <w:lang w:val="en-US" w:eastAsia="zh-CN"/>
        </w:rPr>
        <w:t>，2</w:t>
      </w:r>
      <w:r>
        <w:rPr>
          <w:rFonts w:hint="eastAsia"/>
          <w:highlight w:val="none"/>
          <w:lang w:val="en-US" w:eastAsia="zh-CN"/>
        </w:rPr>
        <w:t>023年较2022年上升4.94%，2024年较2023年下滑14.18%。造成这种趋势的</w:t>
      </w:r>
      <w:r>
        <w:rPr>
          <w:rFonts w:hint="eastAsia"/>
          <w:color w:val="auto"/>
          <w:highlight w:val="none"/>
          <w:lang w:val="en-US" w:eastAsia="zh-CN"/>
        </w:rPr>
        <w:t>主要原因，一方面是受市场整体下行、中美贸易摩擦等多重因素影响，国内集成电路企业普遍效益欠佳；另一方面，市工业和信息化局对对政策实施后的长期效益评估重视不足，导致奖补政策对创新动能的正向激励作用未能充分发挥。</w:t>
      </w:r>
    </w:p>
    <w:p>
      <w:pPr>
        <w:pStyle w:val="6"/>
        <w:keepNext/>
        <w:keepLines w:val="0"/>
        <w:pageBreakBefore w:val="0"/>
        <w:widowControl w:val="0"/>
        <w:kinsoku/>
        <w:wordWrap/>
        <w:overflowPunct/>
        <w:topLinePunct w:val="0"/>
        <w:autoSpaceDE/>
        <w:autoSpaceDN/>
        <w:bidi w:val="0"/>
        <w:adjustRightInd/>
        <w:snapToGrid/>
        <w:ind w:firstLineChars="0"/>
        <w:jc w:val="center"/>
        <w:textAlignment w:val="auto"/>
        <w:rPr>
          <w:rFonts w:hint="eastAsia"/>
          <w:color w:val="auto"/>
          <w:highlight w:val="none"/>
          <w:lang w:eastAsia="zh-CN"/>
        </w:rPr>
      </w:pPr>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7</w:t>
      </w:r>
      <w:r>
        <w:rPr>
          <w:color w:val="auto"/>
          <w:highlight w:val="none"/>
        </w:rPr>
        <w:fldChar w:fldCharType="end"/>
      </w:r>
      <w:r>
        <w:rPr>
          <w:rFonts w:hint="eastAsia"/>
          <w:color w:val="auto"/>
          <w:highlight w:val="none"/>
          <w:lang w:eastAsia="zh-CN"/>
        </w:rPr>
        <w:t xml:space="preserve"> 集成电路企业</w:t>
      </w:r>
      <w:r>
        <w:rPr>
          <w:rFonts w:hint="eastAsia"/>
          <w:color w:val="auto"/>
          <w:highlight w:val="none"/>
          <w:lang w:val="en-US" w:eastAsia="zh-CN"/>
        </w:rPr>
        <w:t>营收</w:t>
      </w:r>
      <w:r>
        <w:rPr>
          <w:rFonts w:hint="eastAsia"/>
          <w:color w:val="auto"/>
          <w:highlight w:val="none"/>
          <w:lang w:eastAsia="zh-CN"/>
        </w:rPr>
        <w:t>、</w:t>
      </w:r>
      <w:r>
        <w:rPr>
          <w:rFonts w:hint="eastAsia"/>
          <w:color w:val="auto"/>
          <w:highlight w:val="none"/>
          <w:lang w:val="en-US" w:eastAsia="zh-CN"/>
        </w:rPr>
        <w:t>纳税</w:t>
      </w:r>
      <w:r>
        <w:rPr>
          <w:rFonts w:hint="eastAsia"/>
          <w:color w:val="auto"/>
          <w:highlight w:val="none"/>
          <w:lang w:eastAsia="zh-CN"/>
        </w:rPr>
        <w:t>统计表</w:t>
      </w:r>
    </w:p>
    <w:p>
      <w:pPr>
        <w:pStyle w:val="6"/>
        <w:keepNext/>
        <w:keepLines w:val="0"/>
        <w:pageBreakBefore w:val="0"/>
        <w:widowControl w:val="0"/>
        <w:kinsoku/>
        <w:wordWrap/>
        <w:overflowPunct/>
        <w:topLinePunct w:val="0"/>
        <w:autoSpaceDE/>
        <w:autoSpaceDN/>
        <w:bidi w:val="0"/>
        <w:adjustRightInd/>
        <w:snapToGrid/>
        <w:ind w:firstLineChars="0"/>
        <w:jc w:val="right"/>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单位：万元</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2"/>
        <w:gridCol w:w="1765"/>
        <w:gridCol w:w="1800"/>
        <w:gridCol w:w="180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890" w:type="pct"/>
            <w:vMerge w:val="restart"/>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年度</w:t>
            </w:r>
          </w:p>
        </w:tc>
        <w:tc>
          <w:tcPr>
            <w:tcW w:w="2044" w:type="pct"/>
            <w:gridSpan w:val="2"/>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19家申报企业</w:t>
            </w:r>
          </w:p>
        </w:tc>
        <w:tc>
          <w:tcPr>
            <w:tcW w:w="2064" w:type="pct"/>
            <w:gridSpan w:val="2"/>
            <w:shd w:val="clear" w:color="auto" w:fill="auto"/>
            <w:vAlign w:val="center"/>
          </w:tcPr>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其中9家受奖补企业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890"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营收总额</w:t>
            </w:r>
          </w:p>
        </w:tc>
        <w:tc>
          <w:tcPr>
            <w:tcW w:w="1032"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纳税总额</w:t>
            </w:r>
          </w:p>
        </w:tc>
        <w:tc>
          <w:tcPr>
            <w:tcW w:w="1032"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2"/>
                <w:sz w:val="24"/>
                <w:szCs w:val="24"/>
                <w:highlight w:val="none"/>
                <w:vertAlign w:val="baseline"/>
                <w:lang w:val="en-US" w:eastAsia="zh-CN" w:bidi="ar-SA"/>
              </w:rPr>
            </w:pPr>
            <w:r>
              <w:rPr>
                <w:rFonts w:hint="eastAsia" w:ascii="宋体" w:hAnsi="宋体" w:eastAsia="宋体" w:cs="宋体"/>
                <w:b/>
                <w:bCs/>
                <w:color w:val="auto"/>
                <w:sz w:val="24"/>
                <w:szCs w:val="24"/>
                <w:highlight w:val="none"/>
                <w:vertAlign w:val="baseline"/>
                <w:lang w:val="en-US" w:eastAsia="zh-CN"/>
              </w:rPr>
              <w:t>营收总额</w:t>
            </w:r>
          </w:p>
        </w:tc>
        <w:tc>
          <w:tcPr>
            <w:tcW w:w="1032"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2"/>
                <w:sz w:val="24"/>
                <w:szCs w:val="24"/>
                <w:highlight w:val="none"/>
                <w:vertAlign w:val="baseline"/>
                <w:lang w:val="en-US" w:eastAsia="zh-CN" w:bidi="ar-SA"/>
              </w:rPr>
            </w:pPr>
            <w:r>
              <w:rPr>
                <w:rFonts w:hint="eastAsia" w:ascii="宋体" w:hAnsi="宋体" w:eastAsia="宋体" w:cs="宋体"/>
                <w:b/>
                <w:bCs/>
                <w:color w:val="auto"/>
                <w:sz w:val="24"/>
                <w:szCs w:val="24"/>
                <w:highlight w:val="none"/>
                <w:vertAlign w:val="baseline"/>
                <w:lang w:val="en-US" w:eastAsia="zh-CN"/>
              </w:rPr>
              <w:t>纳税总额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9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trike w:val="0"/>
                <w:color w:val="auto"/>
                <w:sz w:val="24"/>
                <w:szCs w:val="24"/>
                <w:highlight w:val="none"/>
                <w:vertAlign w:val="baseline"/>
                <w:lang w:val="en-US" w:eastAsia="zh-CN"/>
              </w:rPr>
            </w:pPr>
            <w:r>
              <w:rPr>
                <w:rFonts w:hint="eastAsia" w:ascii="宋体" w:hAnsi="宋体" w:eastAsia="宋体" w:cs="宋体"/>
                <w:b/>
                <w:bCs/>
                <w:strike w:val="0"/>
                <w:color w:val="auto"/>
                <w:sz w:val="24"/>
                <w:szCs w:val="24"/>
                <w:highlight w:val="none"/>
                <w:vertAlign w:val="baseline"/>
                <w:lang w:val="en-US" w:eastAsia="zh-CN"/>
              </w:rPr>
              <w:t>2022年</w:t>
            </w:r>
          </w:p>
        </w:tc>
        <w:tc>
          <w:tcPr>
            <w:tcW w:w="101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strike w:val="0"/>
                <w:color w:val="auto"/>
                <w:sz w:val="24"/>
                <w:szCs w:val="24"/>
                <w:highlight w:val="none"/>
                <w:vertAlign w:val="baseline"/>
                <w:lang w:val="en-US" w:eastAsia="zh-CN"/>
              </w:rPr>
            </w:pPr>
            <w:r>
              <w:rPr>
                <w:rFonts w:hint="eastAsia" w:ascii="宋体" w:hAnsi="宋体" w:eastAsia="宋体" w:cs="宋体"/>
                <w:strike w:val="0"/>
                <w:color w:val="auto"/>
                <w:sz w:val="24"/>
                <w:szCs w:val="24"/>
                <w:highlight w:val="none"/>
                <w:vertAlign w:val="baseline"/>
                <w:lang w:val="en-US" w:eastAsia="zh-CN"/>
              </w:rPr>
              <w:t>1119773.34</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strike w:val="0"/>
                <w:color w:val="auto"/>
                <w:sz w:val="24"/>
                <w:szCs w:val="24"/>
                <w:highlight w:val="none"/>
                <w:vertAlign w:val="baseline"/>
                <w:lang w:val="en-US" w:eastAsia="zh-CN"/>
              </w:rPr>
            </w:pPr>
            <w:r>
              <w:rPr>
                <w:rFonts w:hint="eastAsia" w:ascii="宋体" w:hAnsi="宋体" w:eastAsia="宋体" w:cs="宋体"/>
                <w:strike w:val="0"/>
                <w:color w:val="auto"/>
                <w:sz w:val="24"/>
                <w:szCs w:val="24"/>
                <w:highlight w:val="none"/>
                <w:vertAlign w:val="baseline"/>
                <w:lang w:val="en-US" w:eastAsia="zh-CN"/>
              </w:rPr>
              <w:t>39931.45</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strike w:val="0"/>
                <w:color w:val="auto"/>
                <w:sz w:val="24"/>
                <w:szCs w:val="24"/>
                <w:highlight w:val="none"/>
                <w:vertAlign w:val="baseline"/>
                <w:lang w:val="en-US" w:eastAsia="zh-CN"/>
              </w:rPr>
            </w:pPr>
            <w:r>
              <w:rPr>
                <w:rFonts w:hint="eastAsia" w:ascii="宋体" w:hAnsi="宋体" w:eastAsia="宋体" w:cs="宋体"/>
                <w:strike w:val="0"/>
                <w:color w:val="auto"/>
                <w:sz w:val="24"/>
                <w:szCs w:val="24"/>
                <w:highlight w:val="none"/>
                <w:vertAlign w:val="baseline"/>
                <w:lang w:val="en-US" w:eastAsia="zh-CN"/>
              </w:rPr>
              <w:t>171794.43</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strike w:val="0"/>
                <w:color w:val="auto"/>
                <w:sz w:val="24"/>
                <w:szCs w:val="24"/>
                <w:highlight w:val="none"/>
                <w:vertAlign w:val="baseline"/>
                <w:lang w:val="en-US" w:eastAsia="zh-CN"/>
              </w:rPr>
            </w:pPr>
            <w:r>
              <w:rPr>
                <w:rFonts w:hint="eastAsia" w:ascii="宋体" w:hAnsi="宋体" w:eastAsia="宋体" w:cs="宋体"/>
                <w:strike w:val="0"/>
                <w:color w:val="auto"/>
                <w:sz w:val="24"/>
                <w:szCs w:val="24"/>
                <w:highlight w:val="none"/>
                <w:vertAlign w:val="baseline"/>
                <w:lang w:val="en-US" w:eastAsia="zh-CN"/>
              </w:rPr>
              <w:t>13735.66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9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highlight w:val="none"/>
                <w:vertAlign w:val="baseline"/>
                <w:lang w:val="en-US" w:eastAsia="zh-CN"/>
              </w:rPr>
              <w:t>2023年</w:t>
            </w:r>
          </w:p>
        </w:tc>
        <w:tc>
          <w:tcPr>
            <w:tcW w:w="101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1236332.94</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39796.72</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211879.37</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14414.75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9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highlight w:val="none"/>
                <w:vertAlign w:val="baseline"/>
                <w:lang w:val="en-US" w:eastAsia="zh-CN"/>
              </w:rPr>
              <w:t>2024年</w:t>
            </w:r>
          </w:p>
        </w:tc>
        <w:tc>
          <w:tcPr>
            <w:tcW w:w="101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1322312.77</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15326.27</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221884.3</w:t>
            </w:r>
          </w:p>
        </w:tc>
        <w:tc>
          <w:tcPr>
            <w:tcW w:w="103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12370.49</w:t>
            </w:r>
          </w:p>
        </w:tc>
      </w:tr>
    </w:tbl>
    <w:p>
      <w:pPr>
        <w:keepNext/>
        <w:keepLines w:val="0"/>
        <w:pageBreakBefore w:val="0"/>
        <w:widowControl w:val="0"/>
        <w:kinsoku/>
        <w:wordWrap/>
        <w:overflowPunct/>
        <w:topLinePunct w:val="0"/>
        <w:autoSpaceDE/>
        <w:autoSpaceDN/>
        <w:bidi w:val="0"/>
        <w:adjustRightInd/>
        <w:snapToGrid/>
        <w:ind w:firstLine="643" w:firstLineChars="200"/>
        <w:textAlignment w:val="auto"/>
        <w:rPr>
          <w:rFonts w:hint="default"/>
          <w:highlight w:val="none"/>
          <w:lang w:val="en-US" w:eastAsia="zh-CN"/>
        </w:rPr>
      </w:pPr>
      <w:r>
        <w:rPr>
          <w:rFonts w:hint="eastAsia" w:cs="仿宋_GB2312"/>
          <w:b/>
          <w:bCs/>
          <w:color w:val="auto"/>
          <w:highlight w:val="none"/>
          <w:lang w:val="en-US" w:eastAsia="zh-CN"/>
        </w:rPr>
        <w:t>二是</w:t>
      </w:r>
      <w:r>
        <w:rPr>
          <w:rFonts w:hint="eastAsia" w:cs="仿宋_GB2312"/>
          <w:b w:val="0"/>
          <w:bCs w:val="0"/>
          <w:color w:val="auto"/>
          <w:highlight w:val="none"/>
          <w:lang w:val="en-US" w:eastAsia="zh-CN"/>
        </w:rPr>
        <w:t>公共平台服务效能不佳。作为政策实施期内青岛市唯一一家申报奖补政策的集成电路公共服务平台企业，受奖单位中科芯云微电子科技有限公司服务效能持续弱化</w:t>
      </w:r>
      <w:r>
        <w:rPr>
          <w:rFonts w:hint="eastAsia"/>
          <w:highlight w:val="none"/>
          <w:lang w:val="en-US" w:eastAsia="zh-CN"/>
        </w:rPr>
        <w:t>。一方面，政策实施以来，该平台服务集成电路企业数量连年下滑，2022年该平台全年服务企业14家，2023年降至7家，2024年进一步减少至3家，较2022年减少78.57%。经调研，主要原因是该平台企业相关License于2023年陆续到期，导致流片设计等核心服务难以保障，加之续费成本较高、企业续费意愿不足，预计后续服务规模将持续收缩。另一方面，在原有服务平台业务萎缩的情况下，未能通过奖补政策催生或孵化出新的优质公共服务平台企业，也反映出奖补政策的激励效果不佳或政策扶持方向存在偏差。</w:t>
      </w:r>
    </w:p>
    <w:p>
      <w:pPr>
        <w:pStyle w:val="3"/>
        <w:rPr>
          <w:rFonts w:hint="default"/>
          <w:highlight w:val="none"/>
          <w:lang w:val="en-US" w:eastAsia="zh-CN"/>
        </w:rPr>
      </w:pPr>
      <w:bookmarkStart w:id="95" w:name="_Toc3663"/>
      <w:bookmarkStart w:id="96" w:name="_Toc12082"/>
      <w:bookmarkStart w:id="97" w:name="_Toc5593"/>
      <w:bookmarkStart w:id="98" w:name="_Toc17027"/>
      <w:bookmarkStart w:id="99" w:name="_Toc4215"/>
      <w:r>
        <w:rPr>
          <w:rFonts w:hint="eastAsia"/>
          <w:highlight w:val="none"/>
          <w:lang w:val="en-US" w:eastAsia="zh-CN"/>
        </w:rPr>
        <w:t>（三）实施</w:t>
      </w:r>
      <w:bookmarkEnd w:id="95"/>
      <w:bookmarkEnd w:id="96"/>
      <w:bookmarkEnd w:id="97"/>
      <w:r>
        <w:rPr>
          <w:rFonts w:hint="eastAsia"/>
          <w:highlight w:val="none"/>
          <w:lang w:val="en-US" w:eastAsia="zh-CN"/>
        </w:rPr>
        <w:t>过程管理存在短板</w:t>
      </w:r>
      <w:bookmarkEnd w:id="98"/>
      <w:bookmarkEnd w:id="99"/>
    </w:p>
    <w:p>
      <w:pPr>
        <w:numPr>
          <w:ilvl w:val="0"/>
          <w:numId w:val="0"/>
        </w:numPr>
        <w:ind w:firstLine="643" w:firstLineChars="200"/>
        <w:rPr>
          <w:rFonts w:hint="default"/>
          <w:b/>
          <w:bCs/>
          <w:color w:val="auto"/>
          <w:highlight w:val="none"/>
          <w:lang w:val="en-US" w:eastAsia="zh-CN"/>
        </w:rPr>
      </w:pPr>
      <w:r>
        <w:rPr>
          <w:rFonts w:hint="eastAsia"/>
          <w:b/>
          <w:bCs/>
          <w:color w:val="auto"/>
          <w:highlight w:val="none"/>
          <w:lang w:val="en-US" w:eastAsia="zh-CN"/>
        </w:rPr>
        <w:t>一是</w:t>
      </w:r>
      <w:r>
        <w:rPr>
          <w:rFonts w:hint="eastAsia"/>
          <w:b w:val="0"/>
          <w:bCs w:val="0"/>
          <w:color w:val="auto"/>
          <w:highlight w:val="none"/>
          <w:lang w:val="en-US" w:eastAsia="zh-CN"/>
        </w:rPr>
        <w:t>奖补资金发放不及时。2024年支持集成电路产业发展资金预算安排1325万元，涉及奖补企业9家。2024年6月4日，青岛市财政局印发《关于下达2024年第一批先进制造业发展专项资金预算的通知》（青财企指〔2024〕20号），将奖补资金1325万元全部拨付至区级财政主管部门。截至评价日，仅西海岸新区、高新区财政主管部门及时将奖补资金243万元拨付至受奖企业，崂山区、即墨区、市北区等3个区未及时拨付奖补资金，预算执行率仅为18.34%，9家企业中仅有2家收到奖补资金。</w:t>
      </w:r>
    </w:p>
    <w:p>
      <w:pPr>
        <w:numPr>
          <w:ilvl w:val="0"/>
          <w:numId w:val="0"/>
        </w:numPr>
        <w:ind w:firstLine="643" w:firstLineChars="200"/>
        <w:rPr>
          <w:rFonts w:hint="eastAsia"/>
          <w:color w:val="auto"/>
          <w:highlight w:val="none"/>
          <w:lang w:eastAsia="zh-CN"/>
        </w:rPr>
      </w:pPr>
      <w:r>
        <w:rPr>
          <w:rFonts w:hint="eastAsia"/>
          <w:b/>
          <w:bCs/>
          <w:color w:val="auto"/>
          <w:highlight w:val="none"/>
          <w:lang w:val="en-US" w:eastAsia="zh-CN"/>
        </w:rPr>
        <w:t>二是</w:t>
      </w:r>
      <w:r>
        <w:rPr>
          <w:rFonts w:hint="eastAsia"/>
          <w:color w:val="auto"/>
          <w:highlight w:val="none"/>
          <w:lang w:val="en-US" w:eastAsia="zh-CN"/>
        </w:rPr>
        <w:t>未明确审核工作时限</w:t>
      </w:r>
      <w:r>
        <w:rPr>
          <w:rFonts w:hint="eastAsia"/>
          <w:color w:val="auto"/>
          <w:highlight w:val="none"/>
          <w:lang w:eastAsia="zh-CN"/>
        </w:rPr>
        <w:t>。在市级主管部门对市工业互联网创新发展中心</w:t>
      </w:r>
      <w:r>
        <w:rPr>
          <w:rFonts w:hint="eastAsia"/>
          <w:color w:val="auto"/>
          <w:highlight w:val="none"/>
          <w:lang w:val="en-US" w:eastAsia="zh-CN"/>
        </w:rPr>
        <w:t>上报资料的复审环节中，未参照其他城市的优秀做法明确审核工作时效。如《上海市集成电路布图设计登记资助管理办法》明确要求上海市知识产权管理部门受理资助申请后，应在7个工作日内做出是否资助的决定。在青岛市2024年度集成电路企业扶持政策申报审核工作中，市工业互联网创新发展中心于2023年6月初完成申报企业材料的审核工作，但直至2023年底，市工业和信息化局才完成复核，整个审核流程耗时长达半年，在一定程度上影响了政策执行效能。</w:t>
      </w:r>
    </w:p>
    <w:p>
      <w:pPr>
        <w:pStyle w:val="2"/>
        <w:bidi w:val="0"/>
        <w:rPr>
          <w:highlight w:val="none"/>
        </w:rPr>
      </w:pPr>
      <w:bookmarkStart w:id="100" w:name="_Toc27483"/>
      <w:bookmarkStart w:id="101" w:name="_Toc31573"/>
      <w:bookmarkStart w:id="102" w:name="_Toc5555"/>
      <w:bookmarkStart w:id="103" w:name="_Toc4888"/>
      <w:bookmarkStart w:id="104" w:name="_Toc29392"/>
      <w:r>
        <w:rPr>
          <w:rFonts w:hint="eastAsia"/>
          <w:highlight w:val="none"/>
        </w:rPr>
        <w:t>六、相关建议</w:t>
      </w:r>
      <w:bookmarkEnd w:id="100"/>
      <w:bookmarkEnd w:id="101"/>
      <w:bookmarkEnd w:id="102"/>
      <w:bookmarkEnd w:id="103"/>
      <w:bookmarkEnd w:id="104"/>
    </w:p>
    <w:p>
      <w:pPr>
        <w:pStyle w:val="3"/>
        <w:keepNext w:val="0"/>
        <w:rPr>
          <w:rFonts w:hint="default"/>
          <w:color w:val="auto"/>
          <w:highlight w:val="none"/>
          <w:lang w:val="en-US" w:eastAsia="zh-CN"/>
        </w:rPr>
      </w:pPr>
      <w:bookmarkStart w:id="105" w:name="_Toc19458"/>
      <w:bookmarkStart w:id="106" w:name="_Toc14853"/>
      <w:bookmarkStart w:id="107" w:name="_Toc9108"/>
      <w:bookmarkStart w:id="108" w:name="_Toc26680"/>
      <w:bookmarkStart w:id="109" w:name="_Toc21203"/>
      <w:r>
        <w:rPr>
          <w:rFonts w:hint="eastAsia"/>
          <w:color w:val="auto"/>
          <w:highlight w:val="none"/>
          <w:lang w:eastAsia="zh-CN"/>
        </w:rPr>
        <w:t>（</w:t>
      </w:r>
      <w:r>
        <w:rPr>
          <w:rFonts w:hint="eastAsia"/>
          <w:color w:val="auto"/>
          <w:highlight w:val="none"/>
          <w:lang w:val="en-US" w:eastAsia="zh-CN"/>
        </w:rPr>
        <w:t>一</w:t>
      </w:r>
      <w:r>
        <w:rPr>
          <w:rFonts w:hint="eastAsia"/>
          <w:color w:val="auto"/>
          <w:highlight w:val="none"/>
          <w:lang w:eastAsia="zh-CN"/>
        </w:rPr>
        <w:t>）</w:t>
      </w:r>
      <w:bookmarkEnd w:id="105"/>
      <w:bookmarkEnd w:id="106"/>
      <w:bookmarkEnd w:id="107"/>
      <w:r>
        <w:rPr>
          <w:rFonts w:hint="eastAsia"/>
          <w:color w:val="auto"/>
          <w:highlight w:val="none"/>
          <w:lang w:val="en-US" w:eastAsia="zh-CN"/>
        </w:rPr>
        <w:t>优化调整政策条款</w:t>
      </w:r>
      <w:bookmarkEnd w:id="108"/>
      <w:bookmarkEnd w:id="109"/>
    </w:p>
    <w:p>
      <w:pPr>
        <w:bidi w:val="0"/>
        <w:rPr>
          <w:rFonts w:hint="default"/>
          <w:highlight w:val="none"/>
          <w:lang w:val="en-US" w:eastAsia="zh-CN"/>
        </w:rPr>
      </w:pPr>
      <w:r>
        <w:rPr>
          <w:rFonts w:hint="eastAsia"/>
          <w:b/>
          <w:bCs/>
          <w:highlight w:val="none"/>
          <w:lang w:val="en-US" w:eastAsia="zh-CN"/>
        </w:rPr>
        <w:t>一是</w:t>
      </w:r>
      <w:r>
        <w:rPr>
          <w:rFonts w:hint="eastAsia"/>
          <w:b w:val="0"/>
          <w:bCs w:val="0"/>
          <w:highlight w:val="none"/>
          <w:lang w:val="en-US" w:eastAsia="zh-CN"/>
        </w:rPr>
        <w:t>及时</w:t>
      </w:r>
      <w:r>
        <w:rPr>
          <w:rFonts w:hint="eastAsia"/>
          <w:highlight w:val="none"/>
          <w:lang w:val="en-US" w:eastAsia="zh-CN"/>
        </w:rPr>
        <w:t>对现行</w:t>
      </w:r>
      <w:r>
        <w:rPr>
          <w:rFonts w:hint="eastAsia" w:cs="Times New Roman" w:hAnsiTheme="minorHAnsi"/>
          <w:b w:val="0"/>
          <w:bCs w:val="0"/>
          <w:color w:val="auto"/>
          <w:kern w:val="2"/>
          <w:sz w:val="32"/>
          <w:szCs w:val="22"/>
          <w:highlight w:val="none"/>
          <w:lang w:val="en-US" w:eastAsia="zh-CN" w:bidi="ar-SA"/>
        </w:rPr>
        <w:t>《实施细则》中的</w:t>
      </w:r>
      <w:r>
        <w:rPr>
          <w:rFonts w:hint="eastAsia"/>
          <w:highlight w:val="none"/>
          <w:lang w:val="en-US" w:eastAsia="zh-CN"/>
        </w:rPr>
        <w:t>部分条款进行修订优化，按照国家规范招商引资行为有关要求，做好有关政策的清理规范工作，消除政策执行中的歧视性门槛，切实维护公平竞争的市场环境。</w:t>
      </w:r>
    </w:p>
    <w:p>
      <w:pPr>
        <w:bidi w:val="0"/>
        <w:rPr>
          <w:highlight w:val="none"/>
        </w:rPr>
      </w:pPr>
      <w:r>
        <w:rPr>
          <w:rFonts w:hint="eastAsia"/>
          <w:b/>
          <w:bCs/>
          <w:highlight w:val="none"/>
          <w:lang w:val="en-US" w:eastAsia="zh-CN"/>
        </w:rPr>
        <w:t>二是</w:t>
      </w:r>
      <w:r>
        <w:rPr>
          <w:highlight w:val="none"/>
        </w:rPr>
        <w:t>摒弃单一销售额导向。在技术创新方面，重点关注企业在芯片设计、制造工艺、封装测试等核心环节的技术攻关成果；产业贡献维度，考量企业对产业链上下游的带动作用，如为中小企业提供技术支持、推动产业协同创新等；发展潜力指标，评估企业的人才储备、研发团队质量、新产品研发计划等，挖掘具有创新潜力的初创企业和成长型企业，使政策资源向真正有助于提升产业基础能力和突破“卡脖子”技术的企业倾斜。</w:t>
      </w:r>
    </w:p>
    <w:p>
      <w:pPr>
        <w:bidi w:val="0"/>
        <w:rPr>
          <w:rFonts w:hint="eastAsia"/>
          <w:highlight w:val="none"/>
          <w:lang w:val="en-US" w:eastAsia="zh-CN"/>
        </w:rPr>
      </w:pPr>
      <w:r>
        <w:rPr>
          <w:rFonts w:hint="eastAsia"/>
          <w:b/>
          <w:bCs/>
          <w:highlight w:val="none"/>
          <w:lang w:val="en-US" w:eastAsia="zh-CN"/>
        </w:rPr>
        <w:t>三是</w:t>
      </w:r>
      <w:r>
        <w:rPr>
          <w:rFonts w:hint="eastAsia"/>
          <w:highlight w:val="none"/>
          <w:lang w:val="en-US" w:eastAsia="zh-CN"/>
        </w:rPr>
        <w:t>深入开展调研，摸清产业底数。组建由主管部门、行业专家、企业负责人组成的调研专班，深入企业、园区、科研院所，通过实地走访、座谈交流、问卷调查等方式，全面了解青岛市集成电路产业发展现状、企业技术水平、市场需求和面临的困难问题。建立产业发展数据库，形成详实的产业调研报告，为政策优化提供科学依据。</w:t>
      </w:r>
    </w:p>
    <w:p>
      <w:pPr>
        <w:pStyle w:val="3"/>
        <w:keepNext w:val="0"/>
        <w:overflowPunct w:val="0"/>
        <w:rPr>
          <w:rFonts w:hint="eastAsia"/>
          <w:color w:val="auto"/>
          <w:highlight w:val="none"/>
          <w:lang w:eastAsia="zh-CN"/>
        </w:rPr>
      </w:pPr>
      <w:bookmarkStart w:id="110" w:name="_Toc6588"/>
      <w:bookmarkStart w:id="111" w:name="_Toc22496"/>
      <w:bookmarkStart w:id="112" w:name="_Toc30187"/>
      <w:bookmarkStart w:id="113" w:name="_Toc13727"/>
      <w:bookmarkStart w:id="114" w:name="_Toc20446"/>
      <w:r>
        <w:rPr>
          <w:rFonts w:hint="eastAsia"/>
          <w:color w:val="auto"/>
          <w:highlight w:val="none"/>
          <w:lang w:val="en-US" w:eastAsia="zh-CN"/>
        </w:rPr>
        <w:t>（二）多举措强化政策实施流程</w:t>
      </w:r>
      <w:bookmarkEnd w:id="110"/>
      <w:bookmarkEnd w:id="111"/>
      <w:bookmarkEnd w:id="112"/>
      <w:bookmarkEnd w:id="113"/>
      <w:bookmarkEnd w:id="114"/>
    </w:p>
    <w:p>
      <w:pPr>
        <w:bidi w:val="0"/>
        <w:rPr>
          <w:rFonts w:hint="eastAsia"/>
          <w:highlight w:val="none"/>
          <w:lang w:eastAsia="zh-CN"/>
        </w:rPr>
      </w:pPr>
      <w:r>
        <w:rPr>
          <w:rFonts w:hint="eastAsia"/>
          <w:b/>
          <w:bCs/>
          <w:highlight w:val="none"/>
          <w:lang w:val="en-US" w:eastAsia="zh-CN"/>
        </w:rPr>
        <w:t>一是</w:t>
      </w:r>
      <w:r>
        <w:rPr>
          <w:rFonts w:hint="eastAsia"/>
          <w:highlight w:val="none"/>
          <w:lang w:eastAsia="zh-CN"/>
        </w:rPr>
        <w:t>建立长效跟踪问效机制，制定集成电路产业奖补政策绩效评估与后续管理办法，确立科学合理的绩效评价指标体系，明确资金拨付后一定时期内，对项目进展、技术突破、经济效益、产业带动效应等进行常态化跟踪监测与阶段性评估的要求，并将评估结果作为政策优化调整的重要依据。</w:t>
      </w:r>
    </w:p>
    <w:p>
      <w:pPr>
        <w:bidi w:val="0"/>
        <w:rPr>
          <w:rFonts w:hint="eastAsia"/>
          <w:highlight w:val="none"/>
          <w:lang w:val="en-US" w:eastAsia="zh-CN"/>
        </w:rPr>
      </w:pPr>
      <w:r>
        <w:rPr>
          <w:rFonts w:hint="eastAsia"/>
          <w:b/>
          <w:bCs/>
          <w:highlight w:val="none"/>
          <w:lang w:val="en-US" w:eastAsia="zh-CN"/>
        </w:rPr>
        <w:t>二是</w:t>
      </w:r>
      <w:r>
        <w:rPr>
          <w:rFonts w:hint="eastAsia"/>
          <w:highlight w:val="none"/>
          <w:lang w:val="en-US" w:eastAsia="zh-CN"/>
        </w:rPr>
        <w:t>构建市场化服务体系。推动第三方服务平台向市场化转型，</w:t>
      </w:r>
      <w:r>
        <w:rPr>
          <w:rFonts w:hint="default"/>
          <w:highlight w:val="none"/>
        </w:rPr>
        <w:t>推动原依赖政策奖补的EDA工具、IP核等第三方服务平台，逐步转向市场化运营机制，降低对财政资金的依赖性</w:t>
      </w:r>
      <w:r>
        <w:rPr>
          <w:rFonts w:hint="eastAsia"/>
          <w:highlight w:val="none"/>
          <w:lang w:eastAsia="zh-CN"/>
        </w:rPr>
        <w:t>，</w:t>
      </w:r>
      <w:r>
        <w:rPr>
          <w:rFonts w:hint="eastAsia"/>
          <w:highlight w:val="none"/>
          <w:lang w:val="en-US" w:eastAsia="zh-CN"/>
        </w:rPr>
        <w:t>可采取</w:t>
      </w:r>
      <w:r>
        <w:rPr>
          <w:rFonts w:hint="eastAsia"/>
          <w:highlight w:val="none"/>
          <w:lang w:eastAsia="zh-CN"/>
        </w:rPr>
        <w:t>企业集约化采购机制，通过规模效应降低单家企业成本，</w:t>
      </w:r>
      <w:r>
        <w:rPr>
          <w:rFonts w:hint="eastAsia"/>
          <w:highlight w:val="none"/>
          <w:lang w:val="en-US" w:eastAsia="zh-CN"/>
        </w:rPr>
        <w:t>如通过多家企业联合采购享受优惠服务</w:t>
      </w:r>
      <w:r>
        <w:rPr>
          <w:rFonts w:hint="eastAsia"/>
          <w:highlight w:val="none"/>
          <w:lang w:eastAsia="zh-CN"/>
        </w:rPr>
        <w:t>。</w:t>
      </w:r>
    </w:p>
    <w:p>
      <w:pPr>
        <w:pStyle w:val="3"/>
        <w:keepNext/>
        <w:keepLines/>
        <w:pageBreakBefore w:val="0"/>
        <w:widowControl w:val="0"/>
        <w:kinsoku/>
        <w:wordWrap/>
        <w:overflowPunct/>
        <w:topLinePunct w:val="0"/>
        <w:autoSpaceDE/>
        <w:autoSpaceDN/>
        <w:bidi w:val="0"/>
        <w:adjustRightInd/>
        <w:snapToGrid/>
        <w:textAlignment w:val="auto"/>
        <w:rPr>
          <w:rFonts w:hint="eastAsia"/>
          <w:highlight w:val="none"/>
          <w:lang w:val="en-US" w:eastAsia="zh-CN"/>
        </w:rPr>
      </w:pPr>
      <w:bookmarkStart w:id="115" w:name="_Toc31039"/>
      <w:bookmarkStart w:id="116" w:name="_Toc26610"/>
      <w:bookmarkStart w:id="117" w:name="_Toc28408"/>
      <w:bookmarkStart w:id="118" w:name="_Toc31010"/>
      <w:bookmarkStart w:id="119" w:name="_Toc15084"/>
      <w:bookmarkStart w:id="120" w:name="_Toc17389"/>
      <w:r>
        <w:rPr>
          <w:rFonts w:hint="eastAsia"/>
          <w:highlight w:val="none"/>
          <w:lang w:eastAsia="zh-CN"/>
        </w:rPr>
        <w:t>（</w:t>
      </w:r>
      <w:r>
        <w:rPr>
          <w:rFonts w:hint="eastAsia"/>
          <w:highlight w:val="none"/>
          <w:lang w:val="en-US" w:eastAsia="zh-CN"/>
        </w:rPr>
        <w:t>三</w:t>
      </w:r>
      <w:r>
        <w:rPr>
          <w:rFonts w:hint="eastAsia"/>
          <w:highlight w:val="none"/>
          <w:lang w:eastAsia="zh-CN"/>
        </w:rPr>
        <w:t>）</w:t>
      </w:r>
      <w:r>
        <w:rPr>
          <w:rFonts w:hint="eastAsia"/>
          <w:highlight w:val="none"/>
          <w:lang w:val="en-US" w:eastAsia="zh-CN"/>
        </w:rPr>
        <w:t>完善政策管理规程</w:t>
      </w:r>
      <w:bookmarkEnd w:id="115"/>
      <w:bookmarkEnd w:id="116"/>
      <w:bookmarkEnd w:id="117"/>
      <w:bookmarkEnd w:id="118"/>
      <w:bookmarkEnd w:id="119"/>
      <w:bookmarkEnd w:id="120"/>
    </w:p>
    <w:p>
      <w:pPr>
        <w:bidi w:val="0"/>
        <w:rPr>
          <w:rFonts w:hint="eastAsia"/>
          <w:highlight w:val="none"/>
          <w:lang w:val="en-US" w:eastAsia="zh-CN"/>
        </w:rPr>
      </w:pPr>
      <w:r>
        <w:rPr>
          <w:rFonts w:hint="eastAsia"/>
          <w:b/>
          <w:bCs/>
          <w:highlight w:val="none"/>
          <w:lang w:val="en-US" w:eastAsia="zh-CN"/>
        </w:rPr>
        <w:t>一是</w:t>
      </w:r>
      <w:r>
        <w:rPr>
          <w:rFonts w:hint="eastAsia"/>
          <w:highlight w:val="none"/>
          <w:lang w:val="en-US" w:eastAsia="zh-CN"/>
        </w:rPr>
        <w:t>建议市工业和信息化局牵头建立跨层级的联合工作机制，定期组织市、区两级主管部门召开专项协调会议，及时跟踪各区资金拨付进度，解决拨付过程中出现的堵点、难点问题。</w:t>
      </w:r>
    </w:p>
    <w:p>
      <w:pPr>
        <w:bidi w:val="0"/>
        <w:rPr>
          <w:rFonts w:hint="eastAsia" w:ascii="方正小标宋简体" w:hAnsi="方正小标宋简体" w:eastAsia="方正小标宋简体" w:cs="方正小标宋简体"/>
          <w:color w:val="auto"/>
          <w:sz w:val="44"/>
          <w:szCs w:val="44"/>
          <w:highlight w:val="none"/>
          <w:lang w:val="en-US" w:eastAsia="zh-CN"/>
        </w:rPr>
      </w:pPr>
      <w:r>
        <w:rPr>
          <w:rFonts w:hint="eastAsia"/>
          <w:b/>
          <w:bCs/>
          <w:highlight w:val="none"/>
          <w:lang w:val="en-US" w:eastAsia="zh-CN"/>
        </w:rPr>
        <w:t>二是</w:t>
      </w:r>
      <w:r>
        <w:rPr>
          <w:rFonts w:hint="eastAsia"/>
          <w:highlight w:val="none"/>
          <w:lang w:val="en-US" w:eastAsia="zh-CN"/>
        </w:rPr>
        <w:t>建议市工业和信息化局</w:t>
      </w:r>
      <w:r>
        <w:rPr>
          <w:rFonts w:hint="eastAsia"/>
          <w:highlight w:val="none"/>
          <w:lang w:eastAsia="zh-CN"/>
        </w:rPr>
        <w:t>完善</w:t>
      </w:r>
      <w:r>
        <w:rPr>
          <w:rFonts w:hint="eastAsia"/>
          <w:highlight w:val="none"/>
          <w:lang w:val="en-US" w:eastAsia="zh-CN"/>
        </w:rPr>
        <w:t>制度</w:t>
      </w:r>
      <w:r>
        <w:rPr>
          <w:rFonts w:hint="eastAsia"/>
          <w:highlight w:val="none"/>
          <w:lang w:eastAsia="zh-CN"/>
        </w:rPr>
        <w:t>管理规程，</w:t>
      </w:r>
      <w:r>
        <w:rPr>
          <w:rFonts w:hint="eastAsia"/>
          <w:highlight w:val="none"/>
          <w:lang w:val="en-US" w:eastAsia="zh-CN"/>
        </w:rPr>
        <w:t>健全</w:t>
      </w:r>
      <w:r>
        <w:rPr>
          <w:rFonts w:hint="eastAsia"/>
          <w:highlight w:val="none"/>
          <w:lang w:eastAsia="zh-CN"/>
        </w:rPr>
        <w:t>青岛市集成电路产业奖补资金业务管理办法，明确</w:t>
      </w:r>
      <w:r>
        <w:rPr>
          <w:rFonts w:hint="eastAsia"/>
          <w:highlight w:val="none"/>
          <w:lang w:val="en-US" w:eastAsia="zh-CN"/>
        </w:rPr>
        <w:t>政策</w:t>
      </w:r>
      <w:r>
        <w:rPr>
          <w:rFonts w:hint="eastAsia"/>
          <w:highlight w:val="none"/>
          <w:lang w:eastAsia="zh-CN"/>
        </w:rPr>
        <w:t>申报、审核、</w:t>
      </w:r>
      <w:r>
        <w:rPr>
          <w:rFonts w:hint="eastAsia"/>
          <w:highlight w:val="none"/>
          <w:lang w:val="en-US" w:eastAsia="zh-CN"/>
        </w:rPr>
        <w:t>过程监督、</w:t>
      </w:r>
      <w:r>
        <w:rPr>
          <w:rFonts w:hint="eastAsia"/>
          <w:highlight w:val="none"/>
          <w:lang w:eastAsia="zh-CN"/>
        </w:rPr>
        <w:t>变更、验收等各环节的操作规范与主体责任。</w:t>
      </w:r>
      <w:r>
        <w:rPr>
          <w:rFonts w:hint="eastAsia"/>
          <w:highlight w:val="none"/>
          <w:lang w:val="en-US" w:eastAsia="zh-CN"/>
        </w:rPr>
        <w:t>可参考工业和信息化部等四部门所发布的《关于2024年度享受增值税加计抵减政策的集成电路企业清单制定工作有关要求的通知》，清晰明确地提出了申报时限、初审时限、复核要求以及时间节点等相关要求。</w:t>
      </w:r>
      <w:bookmarkStart w:id="121" w:name="_GoBack"/>
      <w:bookmarkEnd w:id="121"/>
    </w:p>
    <w:sectPr>
      <w:footerReference r:id="rId5" w:type="default"/>
      <w:pgSz w:w="11906" w:h="16838"/>
      <w:pgMar w:top="2041" w:right="1701" w:bottom="2041" w:left="1701" w:header="851" w:footer="1361" w:gutter="0"/>
      <w:pgNumType w:fmt="decimal"/>
      <w:cols w:space="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82550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5pt;height:144pt;width:144pt;mso-position-horizontal:center;mso-position-horizontal-relative:margin;mso-wrap-style:none;z-index:251659264;mso-width-relative:page;mso-height-relative:page;" filled="f" stroked="f" coordsize="21600,21600" o:gfxdata="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SY/yDTAAAABwEAAA8AAAAAAAAAAQAgAAAAIgAAAGRycy9kb3ducmV2LnhtbFBLAQIU&#10;ABQAAAAIAIdO4kAkgka0MQIAAGEEAAAOAAAAAAAAAAEAIAAAACIBAABkcnMvZTJvRG9jLnhtbFBL&#10;BQYAAAAABgAGAFkBAADFBQAAAAA=&#10;">
              <v:fill on="f" focussize="0,0"/>
              <v:stroke on="f" weight="0.5pt"/>
              <v:imagedata o:title=""/>
              <o:lock v:ext="edit" aspectratio="f"/>
              <v:textbox inset="0mm,0mm,0mm,0mm" style="mso-fit-shape-to-text:t;">
                <w:txbxContent>
                  <w:p>
                    <w:pPr>
                      <w:pStyle w:val="11"/>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line="240" w:lineRule="auto"/>
        <w:ind w:firstLine="640"/>
      </w:pPr>
      <w:r>
        <w:separator/>
      </w:r>
    </w:p>
  </w:footnote>
  <w:footnote w:type="continuationSeparator" w:id="5">
    <w:p>
      <w:pPr>
        <w:spacing w:line="240" w:lineRule="auto"/>
        <w:ind w:firstLine="640"/>
      </w:pPr>
      <w:r>
        <w:continuationSeparator/>
      </w:r>
    </w:p>
  </w:footnote>
  <w:footnote w:id="0">
    <w:p>
      <w:pPr>
        <w:pStyle w:val="14"/>
        <w:snapToGrid w:val="0"/>
        <w:spacing w:line="240" w:lineRule="auto"/>
        <w:ind w:firstLine="0" w:firstLineChars="0"/>
      </w:pPr>
      <w:r>
        <w:rPr>
          <w:rStyle w:val="24"/>
        </w:rPr>
        <w:footnoteRef/>
      </w:r>
      <w:r>
        <w:t xml:space="preserve"> </w:t>
      </w:r>
      <w:r>
        <w:rPr>
          <w:rFonts w:hint="eastAsia"/>
          <w:color w:val="auto"/>
          <w:highlight w:val="none"/>
          <w:lang w:val="en-US" w:eastAsia="zh-CN"/>
        </w:rPr>
        <w:t>License：工程流片、IP等权益的许可</w:t>
      </w:r>
    </w:p>
  </w:footnote>
  <w:footnote w:id="1">
    <w:p>
      <w:pPr>
        <w:pStyle w:val="14"/>
        <w:snapToGrid w:val="0"/>
        <w:spacing w:line="240" w:lineRule="auto"/>
        <w:ind w:firstLine="0" w:firstLineChars="0"/>
      </w:pPr>
      <w:r>
        <w:rPr>
          <w:rStyle w:val="24"/>
        </w:rPr>
        <w:footnoteRef/>
      </w:r>
      <w:r>
        <w:t xml:space="preserve"> </w:t>
      </w:r>
      <w:r>
        <w:rPr>
          <w:rFonts w:hint="eastAsia"/>
          <w:highlight w:val="none"/>
          <w:lang w:val="en-US" w:eastAsia="zh-CN"/>
        </w:rPr>
        <w:t>2022年至2024年3个年度覆盖的企业分别为14家、7家、3家，其中歌尔微电子股份有限公司三年均在服务范围内，晶华微电子（山东）有限公司、青岛海科微纳传感技术有限公司在2022年、2023年纳入服务范围</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3YTUwODFmNDdlMTY4ZGUzNzY2MDBjNjE4NjQ4YmEifQ=="/>
  </w:docVars>
  <w:rsids>
    <w:rsidRoot w:val="0021272E"/>
    <w:rsid w:val="0021272E"/>
    <w:rsid w:val="00243C1C"/>
    <w:rsid w:val="0075799E"/>
    <w:rsid w:val="00C339C4"/>
    <w:rsid w:val="00CD1788"/>
    <w:rsid w:val="02096369"/>
    <w:rsid w:val="021A2D08"/>
    <w:rsid w:val="023F07EE"/>
    <w:rsid w:val="02B257AE"/>
    <w:rsid w:val="044B1342"/>
    <w:rsid w:val="04F33554"/>
    <w:rsid w:val="04FF66A0"/>
    <w:rsid w:val="054C7DEB"/>
    <w:rsid w:val="054F128C"/>
    <w:rsid w:val="05C6640A"/>
    <w:rsid w:val="06A86538"/>
    <w:rsid w:val="06BA1A15"/>
    <w:rsid w:val="06E26A5B"/>
    <w:rsid w:val="07C7764B"/>
    <w:rsid w:val="08961326"/>
    <w:rsid w:val="096D15E1"/>
    <w:rsid w:val="0A73514E"/>
    <w:rsid w:val="0AD32091"/>
    <w:rsid w:val="0AFC3ECD"/>
    <w:rsid w:val="0B3F3282"/>
    <w:rsid w:val="0BA07177"/>
    <w:rsid w:val="0BB15C95"/>
    <w:rsid w:val="0EE26D46"/>
    <w:rsid w:val="0F2B249C"/>
    <w:rsid w:val="0F4A722E"/>
    <w:rsid w:val="106A3C74"/>
    <w:rsid w:val="11C96CB8"/>
    <w:rsid w:val="11F81C02"/>
    <w:rsid w:val="12F47048"/>
    <w:rsid w:val="14CF38C9"/>
    <w:rsid w:val="1664616A"/>
    <w:rsid w:val="171C242C"/>
    <w:rsid w:val="179B42DD"/>
    <w:rsid w:val="17A54DB5"/>
    <w:rsid w:val="181F7418"/>
    <w:rsid w:val="18CB084B"/>
    <w:rsid w:val="19A50693"/>
    <w:rsid w:val="19C64BC8"/>
    <w:rsid w:val="1A226249"/>
    <w:rsid w:val="1A4729C7"/>
    <w:rsid w:val="1B7950AC"/>
    <w:rsid w:val="1D450D7F"/>
    <w:rsid w:val="20034D4F"/>
    <w:rsid w:val="20EA1DAD"/>
    <w:rsid w:val="212D0E3C"/>
    <w:rsid w:val="213A031C"/>
    <w:rsid w:val="22704EEE"/>
    <w:rsid w:val="228A38F9"/>
    <w:rsid w:val="238916A4"/>
    <w:rsid w:val="23B0447A"/>
    <w:rsid w:val="23D27AEE"/>
    <w:rsid w:val="23E427C1"/>
    <w:rsid w:val="23F218A4"/>
    <w:rsid w:val="24D83F01"/>
    <w:rsid w:val="24EA3E14"/>
    <w:rsid w:val="25D52CA4"/>
    <w:rsid w:val="26874364"/>
    <w:rsid w:val="26C95BE8"/>
    <w:rsid w:val="27280C17"/>
    <w:rsid w:val="276B75F8"/>
    <w:rsid w:val="27CE7A10"/>
    <w:rsid w:val="281731DB"/>
    <w:rsid w:val="286B210C"/>
    <w:rsid w:val="287B7F00"/>
    <w:rsid w:val="29A529F3"/>
    <w:rsid w:val="2AEE78FC"/>
    <w:rsid w:val="2B3D0B43"/>
    <w:rsid w:val="2C315D42"/>
    <w:rsid w:val="2DC8748F"/>
    <w:rsid w:val="2EC118D3"/>
    <w:rsid w:val="2F076D2E"/>
    <w:rsid w:val="2F8F217B"/>
    <w:rsid w:val="2FCB499C"/>
    <w:rsid w:val="3041265D"/>
    <w:rsid w:val="307F4548"/>
    <w:rsid w:val="310962B6"/>
    <w:rsid w:val="311B7E22"/>
    <w:rsid w:val="319D6E9C"/>
    <w:rsid w:val="321626E0"/>
    <w:rsid w:val="33BA2566"/>
    <w:rsid w:val="34FE3CD8"/>
    <w:rsid w:val="35CA03A0"/>
    <w:rsid w:val="366F6FEA"/>
    <w:rsid w:val="37B76C41"/>
    <w:rsid w:val="386A0C9E"/>
    <w:rsid w:val="398541C9"/>
    <w:rsid w:val="398C24B8"/>
    <w:rsid w:val="3AA149D4"/>
    <w:rsid w:val="3ADE3FB6"/>
    <w:rsid w:val="3BBD1E1E"/>
    <w:rsid w:val="3BD95AAE"/>
    <w:rsid w:val="3C4555F5"/>
    <w:rsid w:val="3C656005"/>
    <w:rsid w:val="3CDB07AE"/>
    <w:rsid w:val="3D05582A"/>
    <w:rsid w:val="3D3A598B"/>
    <w:rsid w:val="3EA53E83"/>
    <w:rsid w:val="3F6F1FDE"/>
    <w:rsid w:val="3F724C94"/>
    <w:rsid w:val="40896772"/>
    <w:rsid w:val="40F44BC7"/>
    <w:rsid w:val="41E748AD"/>
    <w:rsid w:val="42A81132"/>
    <w:rsid w:val="442364DB"/>
    <w:rsid w:val="44EE015C"/>
    <w:rsid w:val="4612161E"/>
    <w:rsid w:val="461E7F7F"/>
    <w:rsid w:val="46B12F19"/>
    <w:rsid w:val="475B11A5"/>
    <w:rsid w:val="47611099"/>
    <w:rsid w:val="47BB1907"/>
    <w:rsid w:val="48127AC3"/>
    <w:rsid w:val="48395AF9"/>
    <w:rsid w:val="4867383D"/>
    <w:rsid w:val="48992888"/>
    <w:rsid w:val="48C447EC"/>
    <w:rsid w:val="4A5352AF"/>
    <w:rsid w:val="4A7C5436"/>
    <w:rsid w:val="4A7D2EA4"/>
    <w:rsid w:val="4A87718C"/>
    <w:rsid w:val="4C8F2B51"/>
    <w:rsid w:val="4CDA0860"/>
    <w:rsid w:val="4DFC0FE6"/>
    <w:rsid w:val="4E322CD5"/>
    <w:rsid w:val="4E395334"/>
    <w:rsid w:val="4F0D2E53"/>
    <w:rsid w:val="4F66183E"/>
    <w:rsid w:val="500802EB"/>
    <w:rsid w:val="508B039A"/>
    <w:rsid w:val="51900019"/>
    <w:rsid w:val="5290573F"/>
    <w:rsid w:val="54240834"/>
    <w:rsid w:val="544175B6"/>
    <w:rsid w:val="55472A2C"/>
    <w:rsid w:val="55516E0B"/>
    <w:rsid w:val="556B68E0"/>
    <w:rsid w:val="55FD4C24"/>
    <w:rsid w:val="56001EDB"/>
    <w:rsid w:val="56236D75"/>
    <w:rsid w:val="56BD5001"/>
    <w:rsid w:val="572D17AE"/>
    <w:rsid w:val="58276B45"/>
    <w:rsid w:val="58305127"/>
    <w:rsid w:val="58676D16"/>
    <w:rsid w:val="59B85B4B"/>
    <w:rsid w:val="5A147669"/>
    <w:rsid w:val="5AC461A2"/>
    <w:rsid w:val="5B0E18F6"/>
    <w:rsid w:val="5B836FB3"/>
    <w:rsid w:val="5D46771A"/>
    <w:rsid w:val="5EE97BCC"/>
    <w:rsid w:val="60443049"/>
    <w:rsid w:val="610E08A2"/>
    <w:rsid w:val="61610FEB"/>
    <w:rsid w:val="62AE304C"/>
    <w:rsid w:val="63777E4E"/>
    <w:rsid w:val="65197432"/>
    <w:rsid w:val="65962B39"/>
    <w:rsid w:val="66315640"/>
    <w:rsid w:val="66DE1D56"/>
    <w:rsid w:val="672C3FE5"/>
    <w:rsid w:val="679D028A"/>
    <w:rsid w:val="68087682"/>
    <w:rsid w:val="68225C23"/>
    <w:rsid w:val="686F0F11"/>
    <w:rsid w:val="689F6A80"/>
    <w:rsid w:val="692B2A85"/>
    <w:rsid w:val="6A4F6D11"/>
    <w:rsid w:val="6A6E5F0E"/>
    <w:rsid w:val="6B225314"/>
    <w:rsid w:val="6B303356"/>
    <w:rsid w:val="6B517D09"/>
    <w:rsid w:val="6C3F1E0E"/>
    <w:rsid w:val="6C4007A6"/>
    <w:rsid w:val="6C692C46"/>
    <w:rsid w:val="6CE32BE3"/>
    <w:rsid w:val="6D822441"/>
    <w:rsid w:val="6E917855"/>
    <w:rsid w:val="6F3C2A7E"/>
    <w:rsid w:val="6FBF36E8"/>
    <w:rsid w:val="6FE711B6"/>
    <w:rsid w:val="6FEA072C"/>
    <w:rsid w:val="70043D41"/>
    <w:rsid w:val="71181B49"/>
    <w:rsid w:val="717E4D66"/>
    <w:rsid w:val="72D94D8D"/>
    <w:rsid w:val="73DF066E"/>
    <w:rsid w:val="73E15A49"/>
    <w:rsid w:val="75697CAE"/>
    <w:rsid w:val="75A650F5"/>
    <w:rsid w:val="77637A71"/>
    <w:rsid w:val="78D43D28"/>
    <w:rsid w:val="78F4531C"/>
    <w:rsid w:val="79725853"/>
    <w:rsid w:val="79FF28B1"/>
    <w:rsid w:val="7A85352B"/>
    <w:rsid w:val="7B022DCE"/>
    <w:rsid w:val="7B8E0678"/>
    <w:rsid w:val="7BB15EA8"/>
    <w:rsid w:val="7CD9190C"/>
    <w:rsid w:val="7D3B3B39"/>
    <w:rsid w:val="7DE4379F"/>
    <w:rsid w:val="7FCA46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640" w:firstLineChars="200"/>
      <w:jc w:val="both"/>
    </w:pPr>
    <w:rPr>
      <w:rFonts w:ascii="仿宋_GB2312" w:hAnsi="仿宋_GB2312" w:eastAsia="仿宋_GB2312"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600" w:lineRule="exact"/>
      <w:ind w:firstLine="640" w:firstLineChars="200"/>
      <w:outlineLvl w:val="0"/>
    </w:pPr>
    <w:rPr>
      <w:rFonts w:ascii="黑体" w:hAnsi="黑体" w:eastAsia="黑体"/>
      <w:kern w:val="44"/>
      <w:sz w:val="32"/>
    </w:rPr>
  </w:style>
  <w:style w:type="paragraph" w:styleId="3">
    <w:name w:val="heading 2"/>
    <w:basedOn w:val="1"/>
    <w:next w:val="1"/>
    <w:unhideWhenUsed/>
    <w:qFormat/>
    <w:uiPriority w:val="0"/>
    <w:pPr>
      <w:keepNext/>
      <w:keepLines/>
      <w:spacing w:beforeLines="0" w:beforeAutospacing="0" w:afterLines="0" w:afterAutospacing="0" w:line="600" w:lineRule="exact"/>
      <w:ind w:firstLine="640" w:firstLineChars="200"/>
      <w:outlineLvl w:val="1"/>
    </w:pPr>
    <w:rPr>
      <w:rFonts w:ascii="楷体_GB2312" w:hAnsi="楷体_GB2312" w:eastAsia="楷体_GB2312"/>
      <w:sz w:val="32"/>
    </w:rPr>
  </w:style>
  <w:style w:type="paragraph" w:styleId="4">
    <w:name w:val="heading 4"/>
    <w:basedOn w:val="1"/>
    <w:next w:val="1"/>
    <w:unhideWhenUsed/>
    <w:qFormat/>
    <w:uiPriority w:val="0"/>
    <w:pPr>
      <w:keepNext/>
      <w:keepLines/>
      <w:spacing w:line="480" w:lineRule="auto"/>
      <w:ind w:firstLine="723"/>
      <w:outlineLvl w:val="3"/>
    </w:pPr>
    <w:rPr>
      <w:rFonts w:ascii="楷体_GB2312" w:hAnsi="楷体_GB231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4"/>
    <w:unhideWhenUsed/>
    <w:qFormat/>
    <w:uiPriority w:val="0"/>
    <w:rPr>
      <w:sz w:val="24"/>
    </w:rPr>
  </w:style>
  <w:style w:type="paragraph" w:styleId="6">
    <w:name w:val="caption"/>
    <w:basedOn w:val="1"/>
    <w:next w:val="1"/>
    <w:unhideWhenUsed/>
    <w:qFormat/>
    <w:uiPriority w:val="0"/>
    <w:pPr>
      <w:spacing w:line="240" w:lineRule="auto"/>
      <w:ind w:firstLine="0" w:firstLineChars="0"/>
      <w:jc w:val="center"/>
    </w:pPr>
    <w:rPr>
      <w:rFonts w:ascii="宋体" w:hAnsi="宋体" w:eastAsia="宋体"/>
      <w:b/>
      <w:sz w:val="28"/>
    </w:rPr>
  </w:style>
  <w:style w:type="paragraph" w:styleId="7">
    <w:name w:val="annotation text"/>
    <w:basedOn w:val="1"/>
    <w:qFormat/>
    <w:uiPriority w:val="0"/>
    <w:pPr>
      <w:jc w:val="left"/>
    </w:pPr>
  </w:style>
  <w:style w:type="paragraph" w:styleId="8">
    <w:name w:val="Body Text"/>
    <w:basedOn w:val="1"/>
    <w:next w:val="5"/>
    <w:qFormat/>
    <w:uiPriority w:val="0"/>
    <w:pPr>
      <w:spacing w:after="120" w:afterLines="0" w:afterAutospacing="0"/>
    </w:pPr>
  </w:style>
  <w:style w:type="paragraph" w:styleId="9">
    <w:name w:val="Body Text Indent"/>
    <w:basedOn w:val="1"/>
    <w:qFormat/>
    <w:uiPriority w:val="0"/>
    <w:pPr>
      <w:widowControl/>
      <w:spacing w:before="100" w:beforeAutospacing="1" w:after="100" w:afterAutospacing="1"/>
      <w:jc w:val="left"/>
    </w:pPr>
    <w:rPr>
      <w:rFonts w:ascii="宋体" w:hAnsi="宋体" w:eastAsia="宋体"/>
      <w:kern w:val="0"/>
      <w:sz w:val="24"/>
    </w:rPr>
  </w:style>
  <w:style w:type="paragraph" w:styleId="10">
    <w:name w:val="Plain Text"/>
    <w:basedOn w:val="1"/>
    <w:qFormat/>
    <w:uiPriority w:val="0"/>
    <w:rPr>
      <w:rFonts w:ascii="宋体" w:hAnsi="Courier New" w:eastAsia="宋体"/>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0"/>
  </w:style>
  <w:style w:type="paragraph" w:styleId="14">
    <w:name w:val="footnote text"/>
    <w:basedOn w:val="1"/>
    <w:qFormat/>
    <w:uiPriority w:val="0"/>
    <w:pPr>
      <w:snapToGrid w:val="0"/>
      <w:jc w:val="left"/>
    </w:pPr>
    <w:rPr>
      <w:sz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7">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paragraph" w:styleId="18">
    <w:name w:val="Body Text First Indent 2"/>
    <w:basedOn w:val="9"/>
    <w:unhideWhenUsed/>
    <w:qFormat/>
    <w:uiPriority w:val="99"/>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0"/>
    <w:rPr>
      <w:b/>
    </w:rPr>
  </w:style>
  <w:style w:type="character" w:styleId="23">
    <w:name w:val="Hyperlink"/>
    <w:basedOn w:val="21"/>
    <w:qFormat/>
    <w:uiPriority w:val="0"/>
    <w:rPr>
      <w:color w:val="0000FF"/>
      <w:u w:val="single"/>
    </w:rPr>
  </w:style>
  <w:style w:type="character" w:styleId="24">
    <w:name w:val="footnote reference"/>
    <w:basedOn w:val="21"/>
    <w:qFormat/>
    <w:uiPriority w:val="0"/>
    <w:rPr>
      <w:vertAlign w:val="superscript"/>
    </w:rPr>
  </w:style>
  <w:style w:type="paragraph" w:customStyle="1" w:styleId="25">
    <w:name w:val="正文格式"/>
    <w:basedOn w:val="26"/>
    <w:qFormat/>
    <w:uiPriority w:val="0"/>
    <w:pPr>
      <w:spacing w:line="360" w:lineRule="auto"/>
      <w:ind w:firstLine="480" w:firstLineChars="200"/>
    </w:pPr>
    <w:rPr>
      <w:rFonts w:ascii="宋体" w:hAnsi="宋体" w:eastAsia="宋体" w:cs="Times New Roman"/>
      <w:sz w:val="24"/>
    </w:rPr>
  </w:style>
  <w:style w:type="paragraph" w:customStyle="1" w:styleId="26">
    <w:name w:val="二级标题"/>
    <w:basedOn w:val="27"/>
    <w:qFormat/>
    <w:uiPriority w:val="0"/>
    <w:pPr>
      <w:outlineLvl w:val="1"/>
    </w:pPr>
    <w:rPr>
      <w:rFonts w:ascii="Times New Roman" w:hAnsi="Times New Roman" w:eastAsia="楷体_GB2312"/>
      <w:kern w:val="0"/>
      <w:szCs w:val="20"/>
    </w:rPr>
  </w:style>
  <w:style w:type="paragraph" w:customStyle="1" w:styleId="27">
    <w:name w:val="一级标题"/>
    <w:basedOn w:val="1"/>
    <w:qFormat/>
    <w:uiPriority w:val="0"/>
    <w:pPr>
      <w:spacing w:line="580" w:lineRule="exact"/>
      <w:ind w:firstLine="200" w:firstLineChars="200"/>
      <w:outlineLvl w:val="0"/>
    </w:pPr>
    <w:rPr>
      <w:rFonts w:ascii="Times New Roman" w:hAnsi="Times New Roman" w:eastAsia="黑体"/>
      <w:kern w:val="0"/>
      <w:sz w:val="32"/>
      <w:szCs w:val="20"/>
    </w:rPr>
  </w:style>
  <w:style w:type="paragraph" w:customStyle="1" w:styleId="28">
    <w:name w:val="_Style 3"/>
    <w:basedOn w:val="1"/>
    <w:next w:val="29"/>
    <w:unhideWhenUsed/>
    <w:qFormat/>
    <w:uiPriority w:val="99"/>
    <w:pPr>
      <w:spacing w:line="360" w:lineRule="auto"/>
      <w:ind w:firstLine="420" w:firstLineChars="200"/>
      <w:jc w:val="left"/>
    </w:pPr>
    <w:rPr>
      <w:rFonts w:ascii="Times New Roman" w:hAnsi="Times New Roman" w:eastAsia="仿宋"/>
      <w:sz w:val="32"/>
      <w:lang w:eastAsia="zh-TW"/>
    </w:rPr>
  </w:style>
  <w:style w:type="paragraph" w:styleId="29">
    <w:name w:val="List Paragraph"/>
    <w:basedOn w:val="1"/>
    <w:qFormat/>
    <w:uiPriority w:val="34"/>
    <w:pPr>
      <w:ind w:firstLine="420" w:firstLineChars="200"/>
    </w:pPr>
  </w:style>
  <w:style w:type="paragraph" w:customStyle="1" w:styleId="30">
    <w:name w:val="Heading2"/>
    <w:basedOn w:val="1"/>
    <w:next w:val="31"/>
    <w:qFormat/>
    <w:uiPriority w:val="0"/>
    <w:pPr>
      <w:keepNext/>
      <w:spacing w:line="216" w:lineRule="auto"/>
      <w:jc w:val="both"/>
      <w:textAlignment w:val="baseline"/>
    </w:pPr>
    <w:rPr>
      <w:rFonts w:ascii="宋体"/>
      <w:b/>
      <w:kern w:val="2"/>
      <w:sz w:val="28"/>
      <w:szCs w:val="20"/>
      <w:lang w:val="en-US" w:eastAsia="zh-CN" w:bidi="ar-SA"/>
    </w:rPr>
  </w:style>
  <w:style w:type="paragraph" w:customStyle="1" w:styleId="31">
    <w:name w:val="NormalIndent"/>
    <w:basedOn w:val="1"/>
    <w:qFormat/>
    <w:uiPriority w:val="0"/>
    <w:pPr>
      <w:ind w:firstLine="420"/>
      <w:jc w:val="both"/>
      <w:textAlignment w:val="baseline"/>
    </w:pPr>
    <w:rPr>
      <w:kern w:val="2"/>
      <w:sz w:val="21"/>
      <w:szCs w:val="20"/>
      <w:lang w:val="en-US" w:eastAsia="zh-CN" w:bidi="ar-SA"/>
    </w:rPr>
  </w:style>
  <w:style w:type="character" w:customStyle="1" w:styleId="32">
    <w:name w:val="font21"/>
    <w:basedOn w:val="2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59</Pages>
  <Words>2648</Words>
  <Characters>2831</Characters>
  <Lines>14</Lines>
  <Paragraphs>4</Paragraphs>
  <TotalTime>16</TotalTime>
  <ScaleCrop>false</ScaleCrop>
  <LinksUpToDate>false</LinksUpToDate>
  <CharactersWithSpaces>2872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2023-09-14T09:07:00Z</dcterms:created>
  <dc:creator>lenovo</dc:creator>
  <cp:lastModifiedBy>Sky</cp:lastModifiedBy>
  <cp:lastPrinted>2024-06-12T00:51:00Z</cp:lastPrinted>
  <dcterms:modified xsi:type="dcterms:W3CDTF">2025-09-19T06:55:27Z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F7D0862F08514C61AD58BA7B0C30A1FA_13</vt:lpwstr>
  </property>
  <property fmtid="{D5CDD505-2E9C-101B-9397-08002B2CF9AE}" pid="4" name="KSOTemplateDocerSaveRecord">
    <vt:lpwstr>eyJoZGlkIjoiMDYyMDk4NmEwY2EwY2M5NzU1MDAxYzRhODVlMzYxM2UiLCJ1c2VySWQiOiI1MjgyNzc4OTQifQ==</vt:lpwstr>
  </property>
</Properties>
</file>